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276" w:lineRule="auto"/>
        <w:jc w:val="center"/>
        <w:rPr>
          <w:rFonts w:ascii="Calibri" w:cs="Calibri" w:eastAsia="Calibri" w:hAnsi="Calibri"/>
          <w:b w:val="1"/>
          <w:sz w:val="26"/>
          <w:szCs w:val="26"/>
        </w:rPr>
      </w:pPr>
      <w:bookmarkStart w:colFirst="0" w:colLast="0" w:name="_gjdgxs" w:id="0"/>
      <w:bookmarkEnd w:id="0"/>
      <w:r w:rsidDel="00000000" w:rsidR="00000000" w:rsidRPr="00000000">
        <w:rPr>
          <w:rFonts w:ascii="Calibri" w:cs="Calibri" w:eastAsia="Calibri" w:hAnsi="Calibri"/>
          <w:b w:val="1"/>
          <w:sz w:val="26"/>
          <w:szCs w:val="26"/>
          <w:rtl w:val="0"/>
        </w:rPr>
        <w:t xml:space="preserve">UNIVERSIDAD NACIONAL MAYOR DE SAN MARCOS</w:t>
      </w:r>
    </w:p>
    <w:p w:rsidR="00000000" w:rsidDel="00000000" w:rsidP="00000000" w:rsidRDefault="00000000" w:rsidRPr="00000000" w14:paraId="00000002">
      <w:pPr>
        <w:pStyle w:val="Title"/>
        <w:spacing w:after="0" w:line="276" w:lineRule="auto"/>
        <w:jc w:val="center"/>
        <w:rPr>
          <w:rFonts w:ascii="Calibri" w:cs="Calibri" w:eastAsia="Calibri" w:hAnsi="Calibri"/>
          <w:b w:val="1"/>
          <w:sz w:val="26"/>
          <w:szCs w:val="26"/>
        </w:rPr>
      </w:pPr>
      <w:bookmarkStart w:colFirst="0" w:colLast="0" w:name="_30j0zll" w:id="1"/>
      <w:bookmarkEnd w:id="1"/>
      <w:r w:rsidDel="00000000" w:rsidR="00000000" w:rsidRPr="00000000">
        <w:rPr>
          <w:rFonts w:ascii="Calibri" w:cs="Calibri" w:eastAsia="Calibri" w:hAnsi="Calibri"/>
          <w:b w:val="1"/>
          <w:sz w:val="26"/>
          <w:szCs w:val="26"/>
          <w:rtl w:val="0"/>
        </w:rPr>
        <w:t xml:space="preserve">FACULTAD DE INGENIERÌA DE SISTEMAS E INFORMÀTICA</w:t>
      </w:r>
    </w:p>
    <w:p w:rsidR="00000000" w:rsidDel="00000000" w:rsidP="00000000" w:rsidRDefault="00000000" w:rsidRPr="00000000" w14:paraId="00000003">
      <w:pPr>
        <w:pStyle w:val="Title"/>
        <w:spacing w:after="0" w:line="276" w:lineRule="auto"/>
        <w:jc w:val="center"/>
        <w:rPr>
          <w:rFonts w:ascii="Calibri" w:cs="Calibri" w:eastAsia="Calibri" w:hAnsi="Calibri"/>
          <w:b w:val="1"/>
          <w:sz w:val="26"/>
          <w:szCs w:val="26"/>
        </w:rPr>
      </w:pPr>
      <w:bookmarkStart w:colFirst="0" w:colLast="0" w:name="_1fob9te" w:id="2"/>
      <w:bookmarkEnd w:id="2"/>
      <w:r w:rsidDel="00000000" w:rsidR="00000000" w:rsidRPr="00000000">
        <w:rPr>
          <w:rFonts w:ascii="Calibri" w:cs="Calibri" w:eastAsia="Calibri" w:hAnsi="Calibri"/>
          <w:b w:val="1"/>
          <w:sz w:val="26"/>
          <w:szCs w:val="26"/>
          <w:rtl w:val="0"/>
        </w:rPr>
        <w:t xml:space="preserve">E.P. INGENIERÍA DE SOFTWARE</w:t>
      </w:r>
    </w:p>
    <w:p w:rsidR="00000000" w:rsidDel="00000000" w:rsidP="00000000" w:rsidRDefault="00000000" w:rsidRPr="00000000" w14:paraId="00000004">
      <w:pPr>
        <w:pStyle w:val="Title"/>
        <w:spacing w:after="200" w:line="276" w:lineRule="auto"/>
        <w:jc w:val="center"/>
        <w:rPr>
          <w:rFonts w:ascii="Calibri" w:cs="Calibri" w:eastAsia="Calibri" w:hAnsi="Calibri"/>
          <w:b w:val="1"/>
          <w:sz w:val="22"/>
          <w:szCs w:val="22"/>
        </w:rPr>
      </w:pPr>
      <w:bookmarkStart w:colFirst="0" w:colLast="0" w:name="_3znysh7" w:id="3"/>
      <w:bookmarkEnd w:id="3"/>
      <w:r w:rsidDel="00000000" w:rsidR="00000000" w:rsidRPr="00000000">
        <w:rPr>
          <w:rtl w:val="0"/>
        </w:rPr>
      </w:r>
    </w:p>
    <w:p w:rsidR="00000000" w:rsidDel="00000000" w:rsidP="00000000" w:rsidRDefault="00000000" w:rsidRPr="00000000" w14:paraId="00000005">
      <w:pPr>
        <w:pStyle w:val="Title"/>
        <w:spacing w:after="200" w:line="480" w:lineRule="auto"/>
        <w:jc w:val="center"/>
        <w:rPr>
          <w:rFonts w:ascii="Calibri" w:cs="Calibri" w:eastAsia="Calibri" w:hAnsi="Calibri"/>
          <w:b w:val="1"/>
          <w:sz w:val="22"/>
          <w:szCs w:val="22"/>
        </w:rPr>
      </w:pPr>
      <w:bookmarkStart w:colFirst="0" w:colLast="0" w:name="_2et92p0" w:id="4"/>
      <w:bookmarkEnd w:id="4"/>
      <w:r w:rsidDel="00000000" w:rsidR="00000000" w:rsidRPr="00000000">
        <w:rPr>
          <w:rFonts w:ascii="Calibri" w:cs="Calibri" w:eastAsia="Calibri" w:hAnsi="Calibri"/>
          <w:b w:val="1"/>
          <w:sz w:val="22"/>
          <w:szCs w:val="22"/>
        </w:rPr>
        <w:drawing>
          <wp:inline distB="114300" distT="114300" distL="114300" distR="114300">
            <wp:extent cx="1608830" cy="213280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08830" cy="213280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spacing w:after="0" w:line="480" w:lineRule="auto"/>
        <w:jc w:val="center"/>
        <w:rPr>
          <w:rFonts w:ascii="Calibri" w:cs="Calibri" w:eastAsia="Calibri" w:hAnsi="Calibri"/>
          <w:sz w:val="54"/>
          <w:szCs w:val="54"/>
        </w:rPr>
      </w:pPr>
      <w:bookmarkStart w:colFirst="0" w:colLast="0" w:name="_qhla9dcjwxt7" w:id="5"/>
      <w:bookmarkEnd w:id="5"/>
      <w:r w:rsidDel="00000000" w:rsidR="00000000" w:rsidRPr="00000000">
        <w:rPr>
          <w:b w:val="1"/>
          <w:sz w:val="24"/>
          <w:szCs w:val="24"/>
          <w:rtl w:val="0"/>
        </w:rPr>
        <w:t xml:space="preserve">Estudio de Viabilidad: "The Vault"</w:t>
      </w:r>
      <w:r w:rsidDel="00000000" w:rsidR="00000000" w:rsidRPr="00000000">
        <w:rPr>
          <w:rtl w:val="0"/>
        </w:rPr>
      </w:r>
    </w:p>
    <w:p w:rsidR="00000000" w:rsidDel="00000000" w:rsidP="00000000" w:rsidRDefault="00000000" w:rsidRPr="00000000" w14:paraId="00000007">
      <w:pPr>
        <w:pStyle w:val="Title"/>
        <w:spacing w:after="0" w:line="480" w:lineRule="auto"/>
        <w:jc w:val="center"/>
        <w:rPr>
          <w:rFonts w:ascii="Calibri" w:cs="Calibri" w:eastAsia="Calibri" w:hAnsi="Calibri"/>
          <w:sz w:val="24"/>
          <w:szCs w:val="24"/>
        </w:rPr>
      </w:pPr>
      <w:bookmarkStart w:colFirst="0" w:colLast="0" w:name="_z337ya" w:id="6"/>
      <w:bookmarkEnd w:id="6"/>
      <w:r w:rsidDel="00000000" w:rsidR="00000000" w:rsidRPr="00000000">
        <w:rPr>
          <w:rFonts w:ascii="Calibri" w:cs="Calibri" w:eastAsia="Calibri" w:hAnsi="Calibri"/>
          <w:b w:val="1"/>
          <w:sz w:val="24"/>
          <w:szCs w:val="24"/>
          <w:rtl w:val="0"/>
        </w:rPr>
        <w:t xml:space="preserve">CURSO: </w:t>
      </w:r>
      <w:r w:rsidDel="00000000" w:rsidR="00000000" w:rsidRPr="00000000">
        <w:rPr>
          <w:sz w:val="24"/>
          <w:szCs w:val="24"/>
          <w:rtl w:val="0"/>
        </w:rPr>
        <w:t xml:space="preserve">Diseño de Software</w:t>
      </w:r>
      <w:r w:rsidDel="00000000" w:rsidR="00000000" w:rsidRPr="00000000">
        <w:rPr>
          <w:rtl w:val="0"/>
        </w:rPr>
      </w:r>
    </w:p>
    <w:p w:rsidR="00000000" w:rsidDel="00000000" w:rsidP="00000000" w:rsidRDefault="00000000" w:rsidRPr="00000000" w14:paraId="00000008">
      <w:pPr>
        <w:pStyle w:val="Title"/>
        <w:spacing w:after="200" w:line="480" w:lineRule="auto"/>
        <w:jc w:val="center"/>
        <w:rPr>
          <w:rFonts w:ascii="Calibri" w:cs="Calibri" w:eastAsia="Calibri" w:hAnsi="Calibri"/>
        </w:rPr>
      </w:pPr>
      <w:bookmarkStart w:colFirst="0" w:colLast="0" w:name="_3j2qqm3" w:id="7"/>
      <w:bookmarkEnd w:id="7"/>
      <w:r w:rsidDel="00000000" w:rsidR="00000000" w:rsidRPr="00000000">
        <w:rPr>
          <w:rFonts w:ascii="Calibri" w:cs="Calibri" w:eastAsia="Calibri" w:hAnsi="Calibri"/>
          <w:b w:val="1"/>
          <w:sz w:val="24"/>
          <w:szCs w:val="24"/>
          <w:rtl w:val="0"/>
        </w:rPr>
        <w:t xml:space="preserve">DOCENTE: </w:t>
      </w:r>
      <w:r w:rsidDel="00000000" w:rsidR="00000000" w:rsidRPr="00000000">
        <w:rPr>
          <w:sz w:val="24"/>
          <w:szCs w:val="24"/>
          <w:rtl w:val="0"/>
        </w:rPr>
        <w:t xml:space="preserve">Rosa Menendez</w:t>
      </w:r>
      <w:r w:rsidDel="00000000" w:rsidR="00000000" w:rsidRPr="00000000">
        <w:rPr>
          <w:rtl w:val="0"/>
        </w:rPr>
      </w:r>
    </w:p>
    <w:tbl>
      <w:tblPr>
        <w:tblStyle w:val="Table1"/>
        <w:tblW w:w="9000.0" w:type="dxa"/>
        <w:jc w:val="left"/>
        <w:tblLayout w:type="fixed"/>
        <w:tblLook w:val="0600"/>
      </w:tblPr>
      <w:tblGrid>
        <w:gridCol w:w="2055"/>
        <w:gridCol w:w="6945"/>
        <w:tblGridChange w:id="0">
          <w:tblGrid>
            <w:gridCol w:w="2055"/>
            <w:gridCol w:w="6945"/>
          </w:tblGrid>
        </w:tblGridChange>
      </w:tblGrid>
      <w:tr>
        <w:trPr>
          <w:cantSplit w:val="0"/>
          <w:trHeight w:val="55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numPr>
                <w:ilvl w:val="0"/>
                <w:numId w:val="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Aranda Vega, Joar Jesus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Chipana Arellano, Franz Esteban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2"/>
              </w:numPr>
              <w:spacing w:line="240" w:lineRule="auto"/>
              <w:ind w:left="720" w:hanging="360"/>
              <w:rPr>
                <w:rFonts w:ascii="Calibri" w:cs="Calibri" w:eastAsia="Calibri" w:hAnsi="Calibri"/>
              </w:rPr>
            </w:pPr>
            <w:r w:rsidDel="00000000" w:rsidR="00000000" w:rsidRPr="00000000">
              <w:rPr>
                <w:rtl w:val="0"/>
              </w:rPr>
              <w:t xml:space="preserve">Contreras Quispe, Harumi Nayeli</w:t>
            </w:r>
            <w:r w:rsidDel="00000000" w:rsidR="00000000" w:rsidRPr="00000000">
              <w:rPr>
                <w:rtl w:val="0"/>
              </w:rPr>
            </w:r>
          </w:p>
        </w:tc>
      </w:tr>
      <w:tr>
        <w:trPr>
          <w:cantSplit w:val="0"/>
          <w:trHeight w:val="55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2"/>
              </w:numPr>
              <w:spacing w:line="240" w:lineRule="auto"/>
              <w:ind w:left="720" w:hanging="360"/>
              <w:rPr>
                <w:rFonts w:ascii="Calibri" w:cs="Calibri" w:eastAsia="Calibri" w:hAnsi="Calibri"/>
              </w:rPr>
            </w:pPr>
            <w:r w:rsidDel="00000000" w:rsidR="00000000" w:rsidRPr="00000000">
              <w:rPr>
                <w:rtl w:val="0"/>
              </w:rPr>
              <w:t xml:space="preserve">Flores Gomez, Benjamin</w:t>
            </w:r>
            <w:r w:rsidDel="00000000" w:rsidR="00000000" w:rsidRPr="00000000">
              <w:rPr>
                <w:rtl w:val="0"/>
              </w:rPr>
            </w:r>
          </w:p>
        </w:tc>
      </w:tr>
      <w:tr>
        <w:trPr>
          <w:cantSplit w:val="0"/>
          <w:trHeight w:val="55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4"/>
              </w:numPr>
              <w:spacing w:line="240" w:lineRule="auto"/>
              <w:ind w:left="720" w:hanging="360"/>
              <w:rPr>
                <w:rFonts w:ascii="Calibri" w:cs="Calibri" w:eastAsia="Calibri" w:hAnsi="Calibri"/>
                <w:u w:val="none"/>
              </w:rPr>
            </w:pPr>
            <w:r w:rsidDel="00000000" w:rsidR="00000000" w:rsidRPr="00000000">
              <w:rPr>
                <w:rtl w:val="0"/>
              </w:rPr>
              <w:t xml:space="preserve">Palacios Aguilar, Adrian Alessandro</w:t>
            </w:r>
            <w:r w:rsidDel="00000000" w:rsidR="00000000" w:rsidRPr="00000000">
              <w:rPr>
                <w:rtl w:val="0"/>
              </w:rPr>
            </w:r>
          </w:p>
        </w:tc>
      </w:tr>
      <w:tr>
        <w:trPr>
          <w:cantSplit w:val="0"/>
          <w:trHeight w:val="55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36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3"/>
              </w:numPr>
              <w:spacing w:line="240" w:lineRule="auto"/>
              <w:ind w:left="720" w:hanging="360"/>
              <w:rPr>
                <w:rFonts w:ascii="Calibri" w:cs="Calibri" w:eastAsia="Calibri" w:hAnsi="Calibri"/>
                <w:u w:val="none"/>
              </w:rPr>
            </w:pPr>
            <w:r w:rsidDel="00000000" w:rsidR="00000000" w:rsidRPr="00000000">
              <w:rPr>
                <w:rtl w:val="0"/>
              </w:rPr>
              <w:t xml:space="preserve">Parrales Torres, Jose Luis</w:t>
            </w:r>
            <w:r w:rsidDel="00000000" w:rsidR="00000000" w:rsidRPr="00000000">
              <w:rPr>
                <w:rtl w:val="0"/>
              </w:rPr>
            </w:r>
          </w:p>
        </w:tc>
      </w:tr>
      <w:tr>
        <w:trPr>
          <w:cantSplit w:val="0"/>
          <w:trHeight w:val="740.67484374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36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Sarmiento Quispe, Sofía Fernanda</w:t>
            </w:r>
          </w:p>
        </w:tc>
      </w:tr>
    </w:tbl>
    <w:p w:rsidR="00000000" w:rsidDel="00000000" w:rsidP="00000000" w:rsidRDefault="00000000" w:rsidRPr="00000000" w14:paraId="0000001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jc w:val="both"/>
        <w:rPr/>
      </w:pPr>
      <w:bookmarkStart w:colFirst="0" w:colLast="0" w:name="_d8bclwhugjg5" w:id="8"/>
      <w:bookmarkEnd w:id="8"/>
      <w:r w:rsidDel="00000000" w:rsidR="00000000" w:rsidRPr="00000000">
        <w:rPr>
          <w:rtl w:val="0"/>
        </w:rPr>
        <w:t xml:space="preserve">1. Descripción del Proyecto</w:t>
      </w:r>
    </w:p>
    <w:p w:rsidR="00000000" w:rsidDel="00000000" w:rsidP="00000000" w:rsidRDefault="00000000" w:rsidRPr="00000000" w14:paraId="0000001C">
      <w:pPr>
        <w:jc w:val="both"/>
        <w:rPr/>
      </w:pPr>
      <w:r w:rsidDel="00000000" w:rsidR="00000000" w:rsidRPr="00000000">
        <w:rPr>
          <w:rtl w:val="0"/>
        </w:rPr>
        <w:t xml:space="preserve">"The Vault" es una plataforma web de música que permite a los usuarios escuchar canciones mediante streaming, crear listas de reproducción, y acceder a planes de suscripción. Los usuarios pueden subir música, personalizar su experiencia, y utilizar la plataforma en cualquier navegador.</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pStyle w:val="Heading2"/>
        <w:jc w:val="both"/>
        <w:rPr/>
      </w:pPr>
      <w:bookmarkStart w:colFirst="0" w:colLast="0" w:name="_431gp9hr38qo" w:id="9"/>
      <w:bookmarkEnd w:id="9"/>
      <w:r w:rsidDel="00000000" w:rsidR="00000000" w:rsidRPr="00000000">
        <w:rPr>
          <w:rtl w:val="0"/>
        </w:rPr>
        <w:t xml:space="preserve">2. Viabilidad Técnica</w:t>
      </w:r>
    </w:p>
    <w:p w:rsidR="00000000" w:rsidDel="00000000" w:rsidP="00000000" w:rsidRDefault="00000000" w:rsidRPr="00000000" w14:paraId="0000001F">
      <w:pPr>
        <w:jc w:val="both"/>
        <w:rPr/>
      </w:pPr>
      <w:r w:rsidDel="00000000" w:rsidR="00000000" w:rsidRPr="00000000">
        <w:rPr>
          <w:rtl w:val="0"/>
        </w:rPr>
        <w:t xml:space="preserve">La viabilidad técnica se evalúa en función de las siguientes áreas clave:</w:t>
      </w:r>
    </w:p>
    <w:p w:rsidR="00000000" w:rsidDel="00000000" w:rsidP="00000000" w:rsidRDefault="00000000" w:rsidRPr="00000000" w14:paraId="00000020">
      <w:pPr>
        <w:pStyle w:val="Heading3"/>
        <w:jc w:val="both"/>
        <w:rPr/>
      </w:pPr>
      <w:bookmarkStart w:colFirst="0" w:colLast="0" w:name="_dr7j1r61dct3" w:id="10"/>
      <w:bookmarkEnd w:id="10"/>
      <w:r w:rsidDel="00000000" w:rsidR="00000000" w:rsidRPr="00000000">
        <w:rPr>
          <w:rtl w:val="0"/>
        </w:rPr>
        <w:t xml:space="preserve">Infraestructura Técnica </w:t>
      </w:r>
    </w:p>
    <w:p w:rsidR="00000000" w:rsidDel="00000000" w:rsidP="00000000" w:rsidRDefault="00000000" w:rsidRPr="00000000" w14:paraId="00000021">
      <w:pPr>
        <w:jc w:val="both"/>
        <w:rPr/>
      </w:pPr>
      <w:r w:rsidDel="00000000" w:rsidR="00000000" w:rsidRPr="00000000">
        <w:rPr>
          <w:rtl w:val="0"/>
        </w:rPr>
        <w:t xml:space="preserve">La plataforma debe ser accesible en múltiples navegadores, lo que requiere tecnologías web responsivas como HTML5, CSS3, y JavaScript. También, se necesita una base de datos robusta, para la que Supabase ha sido designado como proveedor.</w:t>
      </w:r>
    </w:p>
    <w:p w:rsidR="00000000" w:rsidDel="00000000" w:rsidP="00000000" w:rsidRDefault="00000000" w:rsidRPr="00000000" w14:paraId="00000022">
      <w:pPr>
        <w:pStyle w:val="Heading3"/>
        <w:jc w:val="both"/>
        <w:rPr/>
      </w:pPr>
      <w:bookmarkStart w:colFirst="0" w:colLast="0" w:name="_x9nnnxm6gsfe" w:id="11"/>
      <w:bookmarkEnd w:id="11"/>
      <w:r w:rsidDel="00000000" w:rsidR="00000000" w:rsidRPr="00000000">
        <w:rPr>
          <w:rtl w:val="0"/>
        </w:rPr>
        <w:t xml:space="preserve">Reproducción de Música </w:t>
      </w:r>
    </w:p>
    <w:p w:rsidR="00000000" w:rsidDel="00000000" w:rsidP="00000000" w:rsidRDefault="00000000" w:rsidRPr="00000000" w14:paraId="00000023">
      <w:pPr>
        <w:jc w:val="both"/>
        <w:rPr/>
      </w:pPr>
      <w:r w:rsidDel="00000000" w:rsidR="00000000" w:rsidRPr="00000000">
        <w:rPr>
          <w:rtl w:val="0"/>
        </w:rPr>
        <w:t xml:space="preserve">La transmisión de música en línea implica la gestión de archivos de audio en tiempo real, donde tecnologías como Node.js, WebSockets, y APIs REST desempeñan un papel crucial para garantizar baja latencia y alta disponibilidad.</w:t>
      </w:r>
    </w:p>
    <w:p w:rsidR="00000000" w:rsidDel="00000000" w:rsidP="00000000" w:rsidRDefault="00000000" w:rsidRPr="00000000" w14:paraId="00000024">
      <w:pPr>
        <w:pStyle w:val="Heading3"/>
        <w:jc w:val="both"/>
        <w:rPr/>
      </w:pPr>
      <w:bookmarkStart w:colFirst="0" w:colLast="0" w:name="_j4zxfa9cttd1" w:id="12"/>
      <w:bookmarkEnd w:id="12"/>
      <w:r w:rsidDel="00000000" w:rsidR="00000000" w:rsidRPr="00000000">
        <w:rPr>
          <w:rtl w:val="0"/>
        </w:rPr>
        <w:t xml:space="preserve">Escalabilidad </w:t>
      </w:r>
    </w:p>
    <w:p w:rsidR="00000000" w:rsidDel="00000000" w:rsidP="00000000" w:rsidRDefault="00000000" w:rsidRPr="00000000" w14:paraId="00000025">
      <w:pPr>
        <w:jc w:val="both"/>
        <w:rPr/>
      </w:pPr>
      <w:r w:rsidDel="00000000" w:rsidR="00000000" w:rsidRPr="00000000">
        <w:rPr>
          <w:rtl w:val="0"/>
        </w:rPr>
        <w:t xml:space="preserve">Dado que el proyecto involucra streaming, la escalabilidad es crítica. El uso de servicios en la nube puede permitir la expansión de la infraestructura conforme aumenten los usuarios.</w:t>
      </w:r>
    </w:p>
    <w:p w:rsidR="00000000" w:rsidDel="00000000" w:rsidP="00000000" w:rsidRDefault="00000000" w:rsidRPr="00000000" w14:paraId="00000026">
      <w:pPr>
        <w:pStyle w:val="Heading3"/>
        <w:jc w:val="both"/>
        <w:rPr/>
      </w:pPr>
      <w:bookmarkStart w:colFirst="0" w:colLast="0" w:name="_tbzevqfm62j5" w:id="13"/>
      <w:bookmarkEnd w:id="13"/>
      <w:r w:rsidDel="00000000" w:rsidR="00000000" w:rsidRPr="00000000">
        <w:rPr>
          <w:rtl w:val="0"/>
        </w:rPr>
        <w:t xml:space="preserve">Seguridad </w:t>
      </w:r>
    </w:p>
    <w:p w:rsidR="00000000" w:rsidDel="00000000" w:rsidP="00000000" w:rsidRDefault="00000000" w:rsidRPr="00000000" w14:paraId="00000027">
      <w:pPr>
        <w:jc w:val="both"/>
        <w:rPr/>
      </w:pPr>
      <w:r w:rsidDel="00000000" w:rsidR="00000000" w:rsidRPr="00000000">
        <w:rPr>
          <w:rtl w:val="0"/>
        </w:rPr>
        <w:t xml:space="preserve">El sistema debe proteger la información de los usuarios, lo que requiere integraciones con proveedores de pagos como Stripe para garantizar transacciones seguras y cumplir con normativas de protección de datos.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pStyle w:val="Heading2"/>
        <w:jc w:val="both"/>
        <w:rPr/>
      </w:pPr>
      <w:bookmarkStart w:colFirst="0" w:colLast="0" w:name="_lgbjljs3o4s3" w:id="14"/>
      <w:bookmarkEnd w:id="14"/>
      <w:r w:rsidDel="00000000" w:rsidR="00000000" w:rsidRPr="00000000">
        <w:rPr>
          <w:rtl w:val="0"/>
        </w:rPr>
        <w:t xml:space="preserve">3. Viabilidad Económica</w:t>
      </w:r>
    </w:p>
    <w:p w:rsidR="00000000" w:rsidDel="00000000" w:rsidP="00000000" w:rsidRDefault="00000000" w:rsidRPr="00000000" w14:paraId="0000002A">
      <w:pPr>
        <w:jc w:val="both"/>
        <w:rPr/>
      </w:pPr>
      <w:r w:rsidDel="00000000" w:rsidR="00000000" w:rsidRPr="00000000">
        <w:rPr>
          <w:rtl w:val="0"/>
        </w:rPr>
        <w:t xml:space="preserve">El presupuesto estimado del proyecto es de $5580 USD, lo cual incluye desarrollo de front-end, back-end, base de datos, y APIs. La inclusión de una reserva de contingencia del 10% cubre imprevistos.</w:t>
      </w:r>
    </w:p>
    <w:p w:rsidR="00000000" w:rsidDel="00000000" w:rsidP="00000000" w:rsidRDefault="00000000" w:rsidRPr="00000000" w14:paraId="0000002B">
      <w:pPr>
        <w:pStyle w:val="Heading3"/>
        <w:jc w:val="both"/>
        <w:rPr/>
      </w:pPr>
      <w:bookmarkStart w:colFirst="0" w:colLast="0" w:name="_vd18984k66l0" w:id="15"/>
      <w:bookmarkEnd w:id="15"/>
      <w:r w:rsidDel="00000000" w:rsidR="00000000" w:rsidRPr="00000000">
        <w:rPr>
          <w:rtl w:val="0"/>
        </w:rPr>
        <w:t xml:space="preserve">Análisis de Costos </w:t>
      </w:r>
    </w:p>
    <w:p w:rsidR="00000000" w:rsidDel="00000000" w:rsidP="00000000" w:rsidRDefault="00000000" w:rsidRPr="00000000" w14:paraId="0000002C">
      <w:pPr>
        <w:jc w:val="both"/>
        <w:rPr/>
      </w:pPr>
      <w:r w:rsidDel="00000000" w:rsidR="00000000" w:rsidRPr="00000000">
        <w:rPr>
          <w:rtl w:val="0"/>
        </w:rPr>
        <w:t xml:space="preserve">La inversión en horas de desarrollo es razonable dada la complejidad del proyecto. Los costos de personal y tecnología son asumibles, siempre y cuando se mantengan dentro del presupuesto.</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pStyle w:val="Heading2"/>
        <w:jc w:val="both"/>
        <w:rPr/>
      </w:pPr>
      <w:bookmarkStart w:colFirst="0" w:colLast="0" w:name="_q47zkze5goi5" w:id="16"/>
      <w:bookmarkEnd w:id="16"/>
      <w:r w:rsidDel="00000000" w:rsidR="00000000" w:rsidRPr="00000000">
        <w:rPr>
          <w:rtl w:val="0"/>
        </w:rPr>
        <w:t xml:space="preserve">4. Viabilidad de Mercado</w:t>
      </w:r>
    </w:p>
    <w:p w:rsidR="00000000" w:rsidDel="00000000" w:rsidP="00000000" w:rsidRDefault="00000000" w:rsidRPr="00000000" w14:paraId="0000002F">
      <w:pPr>
        <w:pStyle w:val="Heading3"/>
        <w:jc w:val="both"/>
        <w:rPr/>
      </w:pPr>
      <w:bookmarkStart w:colFirst="0" w:colLast="0" w:name="_slwra6ozz39z" w:id="17"/>
      <w:bookmarkEnd w:id="17"/>
      <w:r w:rsidDel="00000000" w:rsidR="00000000" w:rsidRPr="00000000">
        <w:rPr>
          <w:rtl w:val="0"/>
        </w:rPr>
        <w:t xml:space="preserve">Demanda del Mercado </w:t>
      </w:r>
    </w:p>
    <w:p w:rsidR="00000000" w:rsidDel="00000000" w:rsidP="00000000" w:rsidRDefault="00000000" w:rsidRPr="00000000" w14:paraId="00000030">
      <w:pPr>
        <w:jc w:val="both"/>
        <w:rPr/>
      </w:pPr>
      <w:r w:rsidDel="00000000" w:rsidR="00000000" w:rsidRPr="00000000">
        <w:rPr>
          <w:rtl w:val="0"/>
        </w:rPr>
        <w:t xml:space="preserve">Con el auge del streaming de música, existe una alta demanda de plataformas personalizadas. La competencia incluye servicios como Spotify, pero "The Vault" se destaca al permitir la subida directa de música por parte de los usuarios.</w:t>
      </w:r>
    </w:p>
    <w:p w:rsidR="00000000" w:rsidDel="00000000" w:rsidP="00000000" w:rsidRDefault="00000000" w:rsidRPr="00000000" w14:paraId="00000031">
      <w:pPr>
        <w:pStyle w:val="Heading3"/>
        <w:jc w:val="both"/>
        <w:rPr/>
      </w:pPr>
      <w:bookmarkStart w:colFirst="0" w:colLast="0" w:name="_cw52i1wp7l6" w:id="18"/>
      <w:bookmarkEnd w:id="18"/>
      <w:r w:rsidDel="00000000" w:rsidR="00000000" w:rsidRPr="00000000">
        <w:rPr>
          <w:rtl w:val="0"/>
        </w:rPr>
        <w:t xml:space="preserve">Competitividad </w:t>
      </w:r>
    </w:p>
    <w:p w:rsidR="00000000" w:rsidDel="00000000" w:rsidP="00000000" w:rsidRDefault="00000000" w:rsidRPr="00000000" w14:paraId="00000032">
      <w:pPr>
        <w:jc w:val="both"/>
        <w:rPr/>
      </w:pPr>
      <w:r w:rsidDel="00000000" w:rsidR="00000000" w:rsidRPr="00000000">
        <w:rPr>
          <w:rtl w:val="0"/>
        </w:rPr>
        <w:t xml:space="preserve">La integración de planes de suscripción y la opción de personalización (interfaces dinámicas y listas precreadas) proporciona una ventaja frente a competidores más rígidos en sus ofertas.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pStyle w:val="Heading2"/>
        <w:jc w:val="both"/>
        <w:rPr/>
      </w:pPr>
      <w:bookmarkStart w:colFirst="0" w:colLast="0" w:name="_s8hycewoztjv" w:id="19"/>
      <w:bookmarkEnd w:id="19"/>
      <w:r w:rsidDel="00000000" w:rsidR="00000000" w:rsidRPr="00000000">
        <w:rPr>
          <w:rtl w:val="0"/>
        </w:rPr>
        <w:t xml:space="preserve">5. Conclusión de Viabilidad</w:t>
      </w:r>
    </w:p>
    <w:p w:rsidR="00000000" w:rsidDel="00000000" w:rsidP="00000000" w:rsidRDefault="00000000" w:rsidRPr="00000000" w14:paraId="00000035">
      <w:pPr>
        <w:jc w:val="both"/>
        <w:rPr/>
      </w:pPr>
      <w:r w:rsidDel="00000000" w:rsidR="00000000" w:rsidRPr="00000000">
        <w:rPr>
          <w:rtl w:val="0"/>
        </w:rPr>
        <w:t xml:space="preserve">El proyecto es viable técnica y económicamente, siempre que se cumplan los hitos clave y se asegure un plan de escalabilidad adecuado. La oportunidad de ingresar en un mercado en crecimiento justifica la inversión inicial.</w:t>
      </w:r>
    </w:p>
    <w:p w:rsidR="00000000" w:rsidDel="00000000" w:rsidP="00000000" w:rsidRDefault="00000000" w:rsidRPr="00000000" w14:paraId="00000036">
      <w:pPr>
        <w:spacing w:after="0" w:before="0" w:line="480" w:lineRule="auto"/>
        <w:ind w:left="0" w:firstLine="0"/>
        <w:jc w:val="both"/>
        <w:rPr/>
      </w:pPr>
      <w:r w:rsidDel="00000000" w:rsidR="00000000" w:rsidRPr="00000000">
        <w:rPr>
          <w:rtl w:val="0"/>
        </w:rPr>
      </w:r>
    </w:p>
    <w:sectPr>
      <w:headerReference r:id="rId7" w:type="default"/>
      <w:pgSz w:h="16834" w:w="11909" w:orient="portrait"/>
      <w:pgMar w:bottom="1440" w:top="1275.590551181102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