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sz w:val="72"/>
          <w:szCs w:val="72"/>
        </w:rPr>
        <w:t xml:space="preserve">ODICS-001</w:t>
      </w:r>
    </w:p>
    <w:p>
      <w:pPr>
        <w:spacing w:after="600"/>
        <w:jc w:val="center"/>
      </w:pPr>
      <w:r>
        <w:rPr>
          <w:b/>
          <w:bCs/>
          <w:sz w:val="36"/>
          <w:szCs w:val="36"/>
        </w:rPr>
        <w:t xml:space="preserve">Ocean Data Integrity &amp; Custody Standard</w:t>
      </w:r>
    </w:p>
    <w:p>
      <w:pPr>
        <w:spacing w:after="200"/>
        <w:jc w:val="center"/>
      </w:pPr>
      <w:r>
        <w:rPr>
          <w:sz w:val="28"/>
          <w:szCs w:val="28"/>
        </w:rPr>
        <w:t xml:space="preserve">Version 1.1</w:t>
      </w:r>
    </w:p>
    <w:p>
      <w:pPr>
        <w:spacing w:after="800"/>
        <w:jc w:val="center"/>
      </w:pPr>
      <w:r>
        <w:rPr>
          <w:i/>
          <w:iCs/>
          <w:sz w:val="24"/>
          <w:szCs w:val="24"/>
        </w:rPr>
        <w:t xml:space="preserve">An Open, Audit-Grade Standard for Ocean and Subsea Data Governance</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Classification: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Standard</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Status: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Normative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Effective Date: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Upon Adoption</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Revision Date: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2026-01-30</w:t>
            </w:r>
          </w:p>
        </w:tc>
      </w:tr>
    </w:tbl>
    <w:p>
      <w:r>
        <w:br w:type="page"/>
      </w:r>
    </w:p>
    <w:p>
      <w:pPr>
        <w:pStyle w:val="Heading1"/>
        <w:spacing w:before="400" w:after="200"/>
      </w:pPr>
      <w:r>
        <w:rPr>
          <w:b/>
          <w:bCs/>
          <w:sz w:val="32"/>
          <w:szCs w:val="32"/>
        </w:rPr>
        <w:t xml:space="preserve">Document Control and Amendment History</w:t>
      </w:r>
    </w:p>
    <w:p>
      <w:pPr>
        <w:pStyle w:val="Heading2"/>
        <w:spacing w:before="300" w:after="150"/>
      </w:pPr>
      <w:r>
        <w:rPr>
          <w:b/>
          <w:bCs/>
          <w:sz w:val="26"/>
          <w:szCs w:val="26"/>
        </w:rPr>
        <w:t xml:space="preserve">Amendment Procedures</w:t>
      </w:r>
    </w:p>
    <w:p>
      <w:pPr>
        <w:spacing w:after="200"/>
      </w:pPr>
      <w:r>
        <w:t xml:space="preserve">This standard is subject to periodic review and amendment. Amendments to this standard SHALL be processed in accordance with the following procedures to ensure that all adopting organizations receive adequate notice of changes and have opportunity to assess compliance implications.</w:t>
      </w:r>
    </w:p>
    <w:p>
      <w:pPr>
        <w:spacing w:after="200"/>
      </w:pPr>
      <w:r>
        <w:t xml:space="preserve">Proposed amendments SHALL be submitted in writing to the Standards Maintenance Authority, which for this standard is the issuing organization or its designated successor. Each proposed amendment SHALL include a statement of the problem or gap being addressed, the proposed language change, an impact assessment identifying which sections and requirements are affected, and a proposed effective date allowing reasonable implementation time.</w:t>
      </w:r>
    </w:p>
    <w:p>
      <w:pPr>
        <w:spacing w:after="200"/>
      </w:pPr>
      <w:r>
        <w:t xml:space="preserve">The Standards Maintenance Authority SHALL publish proposed amendments for a public comment period of not less than sixty (60) calendar days before adoption. All comments received SHALL be documented and considered. The Standards Maintenance Authority SHALL publish a response to comments explaining the disposition of each substantive comment received.</w:t>
      </w:r>
    </w:p>
    <w:p>
      <w:pPr>
        <w:spacing w:after="200"/>
      </w:pPr>
      <w:r>
        <w:t xml:space="preserve">Adopted amendments SHALL be assigned a version number following semantic versioning conventions: major version increments for changes that affect compliance status or require significant implementation changes, minor version increments for clarifications and additions that do not affect existing compliant implementations, and patch version increments for corrections of errors that do not change meaning.</w:t>
      </w:r>
    </w:p>
    <w:p>
      <w:pPr>
        <w:spacing w:after="200"/>
      </w:pPr>
      <w:r>
        <w:t xml:space="preserve">Organizations claiming compliance with this standard SHALL specify the version with which they claim compliance. Compliance claims that do not specify a version SHALL be presumed to refer to the most recent published version. Organizations SHALL reassess compliance when new versions are published and SHALL update their compliance claims within one hundred eighty (180) calendar days of a new major version publication.</w:t>
      </w:r>
    </w:p>
    <w:p>
      <w:pPr>
        <w:pStyle w:val="Heading2"/>
        <w:spacing w:before="300" w:after="150"/>
      </w:pPr>
      <w:r>
        <w:rPr>
          <w:b/>
          <w:bCs/>
          <w:sz w:val="26"/>
          <w:szCs w:val="26"/>
        </w:rP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Release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Melon Robotics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 publication of ODICS-001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2026-01-30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Standards Review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Document control procedures, normative terminology definitions, cryptographic integrity requirements, specific technical specifications, regulatory alignment framework, audit certification provisions, expanded breach notification timelines</w:t>
            </w:r>
          </w:p>
        </w:tc>
      </w:tr>
    </w:tbl>
    <w:p>
      <w:r>
        <w:br w:type="page"/>
      </w:r>
    </w:p>
    <w:p>
      <w:pPr>
        <w:pStyle w:val="Heading1"/>
        <w:spacing w:before="400" w:after="200"/>
      </w:pPr>
      <w:r>
        <w:rPr>
          <w:b/>
          <w:bCs/>
          <w:sz w:val="32"/>
          <w:szCs w:val="32"/>
        </w:rPr>
        <w:t xml:space="preserve">Preamble</w:t>
      </w:r>
    </w:p>
    <w:p>
      <w:pPr>
        <w:spacing w:after="200"/>
      </w:pPr>
      <w:r>
        <w:t xml:space="preserve">This standard establishes binding requirements for the generation, handling, transformation, preservation, and defense of ocean and subsea data from initial collection through all downstream uses. ODICS-001 exists to ensure that data produced in marine environments meets the evidentiary and audit requirements of scientific institutions, regulatory bodies, litigation proceedings, insurance assessments, and commercial data services.</w:t>
      </w:r>
    </w:p>
    <w:p>
      <w:pPr>
        <w:spacing w:after="200"/>
      </w:pPr>
      <w:r>
        <w:t xml:space="preserve">The foundational premise of this standard is that data without provenance is opinion. Organizations and individuals adopting this standard accept that raw data constitutes evidence, that transformation creates responsibility, that temporal and spatial uncertainty must be explicit, and that autonomous collection does not reduce accountability. These principles are reflected throughout all requirements herein.</w:t>
      </w:r>
    </w:p>
    <w:p>
      <w:pPr>
        <w:spacing w:after="200"/>
      </w:pPr>
      <w:r>
        <w:t xml:space="preserve">This standard governs data trustworthiness and custody. It does not govern scientific interpretation, analytical methodology selection, or the conclusions drawn from compliant data. Compliance with ODICS-001 establishes that data meets integrity and custody requirements; it does not validate the scientific merit of any particular use of that data.</w:t>
      </w:r>
    </w:p>
    <w:p>
      <w:pPr>
        <w:spacing w:after="200"/>
      </w:pPr>
      <w:r>
        <w:t xml:space="preserve">This standard is designed to support legal defensibility of data in adversarial proceedings. However, compliance with this standard does not constitute a guarantee of legal admissibility or acceptance in any specific jurisdiction or proceeding. Organizations should consult qualified legal counsel regarding the evidentiary requirements applicable to their specific circumstances.</w:t>
      </w:r>
    </w:p>
    <w:p>
      <w:r>
        <w:br w:type="page"/>
      </w:r>
    </w:p>
    <w:p>
      <w:pPr>
        <w:pStyle w:val="Heading1"/>
        <w:spacing w:before="400" w:after="200"/>
      </w:pPr>
      <w:r>
        <w:rPr>
          <w:b/>
          <w:bCs/>
          <w:sz w:val="32"/>
          <w:szCs w:val="32"/>
        </w:rPr>
        <w:t xml:space="preserve">Normative Terminology and Interpretation</w:t>
      </w:r>
    </w:p>
    <w:p>
      <w:pPr>
        <w:spacing w:after="200"/>
      </w:pPr>
      <w:r>
        <w:t xml:space="preserve">The key words "SHALL," "SHALL NOT," "REQUIRED," "SHOULD," "SHOULD NOT," "RECOMMENDED," "MAY," and "OPTIONAL" in this document are to be interpreted as described in this section, consistent with their usage in IETF RFC 2119 and ISO/IEC Directives Part 2. These terms are capitalized throughout this document when used in their normative sense.</w:t>
      </w:r>
    </w:p>
    <w:p>
      <w:pPr>
        <w:pStyle w:val="Heading2"/>
        <w:spacing w:before="300" w:after="150"/>
      </w:pPr>
      <w:r>
        <w:rPr>
          <w:b/>
          <w:bCs/>
          <w:sz w:val="26"/>
          <w:szCs w:val="26"/>
        </w:rPr>
        <w:t xml:space="preserve">Mandatory Requirements</w:t>
      </w:r>
    </w:p>
    <w:p>
      <w:pPr>
        <w:spacing w:after="200"/>
      </w:pPr>
      <w:r>
        <w:rPr>
          <w:b/>
          <w:bCs/>
        </w:rPr>
        <w:t xml:space="preserve">SHALL </w:t>
      </w:r>
      <w:r>
        <w:t xml:space="preserve">and </w:t>
      </w:r>
      <w:r>
        <w:rPr>
          <w:b/>
          <w:bCs/>
        </w:rPr>
        <w:t xml:space="preserve">REQUIRED </w:t>
      </w:r>
      <w:r>
        <w:t xml:space="preserve">indicate an absolute requirement. An implementation that does not include this capability or behavior is not compliant with this standard. There are no circumstances under which deviation from a SHALL requirement is permitted while maintaining a claim of compliance. Organizations that cannot implement a SHALL requirement must either achieve compliance before claiming adherence to this standard or must explicitly disclaim compliance.</w:t>
      </w:r>
    </w:p>
    <w:p>
      <w:pPr>
        <w:spacing w:after="200"/>
      </w:pPr>
      <w:r>
        <w:rPr>
          <w:b/>
          <w:bCs/>
        </w:rPr>
        <w:t xml:space="preserve">SHALL NOT </w:t>
      </w:r>
      <w:r>
        <w:t xml:space="preserve">indicates an absolute prohibition. An implementation that includes the prohibited capability or behavior is not compliant with this standard. This prohibition admits no exceptions under any operational circumstances.</w:t>
      </w:r>
    </w:p>
    <w:p>
      <w:pPr>
        <w:pStyle w:val="Heading2"/>
        <w:spacing w:before="300" w:after="150"/>
      </w:pPr>
      <w:r>
        <w:rPr>
          <w:b/>
          <w:bCs/>
          <w:sz w:val="26"/>
          <w:szCs w:val="26"/>
        </w:rPr>
        <w:t xml:space="preserve">Recommended Practices</w:t>
      </w:r>
    </w:p>
    <w:p>
      <w:pPr>
        <w:spacing w:after="200"/>
      </w:pPr>
      <w:r>
        <w:rPr>
          <w:b/>
          <w:bCs/>
        </w:rPr>
        <w:t xml:space="preserve">SHOULD </w:t>
      </w:r>
      <w:r>
        <w:t xml:space="preserve">and </w:t>
      </w:r>
      <w:r>
        <w:rPr>
          <w:b/>
          <w:bCs/>
        </w:rPr>
        <w:t xml:space="preserve">RECOMMENDED </w:t>
      </w:r>
      <w:r>
        <w:t xml:space="preserve">indicate that valid reasons may exist in particular circumstances to ignore a particular item, but the full implications must be understood and carefully weighed before choosing a different course. Organizations deviating from SHOULD requirements SHALL document the rationale for deviation, SHALL assess and document any risks introduced by the deviation, and SHALL implement compensating controls where the deviation creates vulnerability to data integrity concerns. Deviation from SHOULD requirements does not affect compliance status but may affect audit findings and data defensibility assessments.</w:t>
      </w:r>
    </w:p>
    <w:p>
      <w:pPr>
        <w:spacing w:after="200"/>
      </w:pPr>
      <w:r>
        <w:rPr>
          <w:b/>
          <w:bCs/>
        </w:rPr>
        <w:t xml:space="preserve">SHOULD NOT </w:t>
      </w:r>
      <w:r>
        <w:t xml:space="preserve">indicates that valid reasons may exist in particular circumstances when the particular behavior is acceptable or even useful, but the full implications should be understood and the case carefully weighed before implementing any behavior described with this label.</w:t>
      </w:r>
    </w:p>
    <w:p>
      <w:pPr>
        <w:pStyle w:val="Heading2"/>
        <w:spacing w:before="300" w:after="150"/>
      </w:pPr>
      <w:r>
        <w:rPr>
          <w:b/>
          <w:bCs/>
          <w:sz w:val="26"/>
          <w:szCs w:val="26"/>
        </w:rPr>
        <w:t xml:space="preserve">Optional Provisions</w:t>
      </w:r>
    </w:p>
    <w:p>
      <w:pPr>
        <w:spacing w:after="200"/>
      </w:pPr>
      <w:r>
        <w:rPr>
          <w:b/>
          <w:bCs/>
        </w:rPr>
        <w:t xml:space="preserve">MAY </w:t>
      </w:r>
      <w:r>
        <w:t xml:space="preserve">and </w:t>
      </w:r>
      <w:r>
        <w:rPr>
          <w:b/>
          <w:bCs/>
        </w:rPr>
        <w:t xml:space="preserve">OPTIONAL </w:t>
      </w:r>
      <w:r>
        <w:t xml:space="preserve">indicate that an item is truly optional. One organization may choose to include the item because a particular context requires it or because the organization feels that it enhances the implementation, while another organization may omit the same item. An implementation that does not include a particular option SHALL be prepared to interoperate with another implementation that does include the option, though perhaps with reduced functionality. An implementation that does include a particular option SHALL be prepared to interoperate with another implementation that does not include the option.</w:t>
      </w:r>
    </w:p>
    <w:p>
      <w:pPr>
        <w:pStyle w:val="Heading2"/>
        <w:spacing w:before="300" w:after="150"/>
      </w:pPr>
      <w:r>
        <w:rPr>
          <w:b/>
          <w:bCs/>
          <w:sz w:val="26"/>
          <w:szCs w:val="26"/>
        </w:rPr>
        <w:t xml:space="preserve">Interpretation Guidance</w:t>
      </w:r>
    </w:p>
    <w:p>
      <w:pPr>
        <w:spacing w:after="200"/>
      </w:pPr>
      <w:r>
        <w:t xml:space="preserve">Where this standard uses terms such as "appropriate," "adequate," "sufficient," "reasonable," or similar qualitative language, organizations SHALL interpret these terms in light of the standard's stated purpose of ensuring data can withstand adversarial scientific, legal, and audit review. The applicable standard of care is that which would be expected of a prudent organization handling evidence with knowledge that the evidence may be challenged in formal proceedings.</w:t>
      </w:r>
    </w:p>
    <w:p>
      <w:pPr>
        <w:spacing w:after="200"/>
      </w:pPr>
      <w:r>
        <w:t xml:space="preserve">Where requirements reference "documented" procedures, decisions, or information, the documentation SHALL be in writing (including electronic records with integrity protections), SHALL be retrievable throughout the applicable retention period, SHALL be interpretable by parties other than the author, and SHALL be included in or linked to audit trails as appropriate.</w:t>
      </w:r>
    </w:p>
    <w:p>
      <w:r>
        <w:br w:type="page"/>
      </w:r>
    </w:p>
    <w:p>
      <w:pPr>
        <w:pStyle w:val="Heading1"/>
        <w:spacing w:before="400" w:after="200"/>
      </w:pPr>
      <w:r>
        <w:rPr>
          <w:b/>
          <w:bCs/>
          <w:sz w:val="32"/>
          <w:szCs w:val="32"/>
        </w:rPr>
        <w:t xml:space="preserve">1. Purpose, Scope, and Applicability</w:t>
      </w:r>
    </w:p>
    <w:p>
      <w:pPr>
        <w:pStyle w:val="Heading2"/>
        <w:spacing w:before="300" w:after="150"/>
      </w:pPr>
      <w:r>
        <w:rPr>
          <w:b/>
          <w:bCs/>
          <w:sz w:val="26"/>
          <w:szCs w:val="26"/>
        </w:rPr>
        <w:t xml:space="preserve">1.1 Intent</w:t>
      </w:r>
    </w:p>
    <w:p>
      <w:pPr>
        <w:spacing w:after="200"/>
      </w:pPr>
      <w:r>
        <w:t xml:space="preserve">The intent of ODICS-001 is to define enforceable requirements that ensure ocean and subsea data can withstand adversarial scientific, legal, and audit review. This standard provides organizations with a defensible framework for demonstrating that data has been collected, handled, and preserved in a manner that supports its use as evidence in disputes, its acceptance by regulatory authorities, and its commercial licensing at premium valuations.</w:t>
      </w:r>
    </w:p>
    <w:p>
      <w:pPr>
        <w:spacing w:after="200"/>
      </w:pPr>
      <w:r>
        <w:t xml:space="preserve">Adopting organizations SHALL implement all mandatory requirements specified herein. Partial adoption does not constitute compliance. Organizations claiming ODICS-001 compliance SHALL maintain documentation demonstrating conformance with all applicable requirements and SHALL make such documentation available for audit upon request by authorized parties.</w:t>
      </w:r>
    </w:p>
    <w:p>
      <w:pPr>
        <w:spacing w:after="200"/>
      </w:pPr>
      <w:r>
        <w:t xml:space="preserve">For purposes of this standard, an "authorized party" requesting audit access includes regulators with jurisdiction over the organization's activities, contracting parties with audit rights under applicable agreements, certification bodies conducting compliance assessments, and litigation parties with discovery rights under applicable procedural rules. Organizations MAY establish reasonable procedures for verifying authorization and scheduling audit access, provided such procedures do not unreasonably impede legitimate audit activities.</w:t>
      </w:r>
    </w:p>
    <w:p>
      <w:pPr>
        <w:pStyle w:val="Heading2"/>
        <w:spacing w:before="300" w:after="150"/>
      </w:pPr>
      <w:r>
        <w:rPr>
          <w:b/>
          <w:bCs/>
          <w:sz w:val="26"/>
          <w:szCs w:val="26"/>
        </w:rPr>
        <w:t xml:space="preserve">1.2 Data Types Covered</w:t>
      </w:r>
    </w:p>
    <w:p>
      <w:pPr>
        <w:spacing w:after="200"/>
      </w:pPr>
      <w:r>
        <w:t xml:space="preserve">This standard applies to all data generated, collected, or derived from ocean and subsea environments, including but not limited to the following categories.</w:t>
      </w:r>
    </w:p>
    <w:p>
      <w:pPr>
        <w:spacing w:after="200"/>
      </w:pPr>
      <w:r>
        <w:rPr>
          <w:b/>
          <w:bCs/>
        </w:rPr>
        <w:t xml:space="preserve">Sensor Data </w:t>
      </w:r>
      <w:r>
        <w:t xml:space="preserve">encompasses measurements from physical, chemical, biological, and acoustic sensors deployed in marine environments. This includes temperature, salinity, pressure, dissolved oxygen, pH, turbidity, current velocity, acoustic backscatter, and any other parameter measured by instrumentation in contact with or observing the marine environment. Sensor data includes both the primary measurement values and any ancillary data produced by the sensor system, such as internal temperature readings, gain settings, or quality indicators.</w:t>
      </w:r>
    </w:p>
    <w:p>
      <w:pPr>
        <w:spacing w:after="200"/>
      </w:pPr>
      <w:r>
        <w:rPr>
          <w:b/>
          <w:bCs/>
        </w:rPr>
        <w:t xml:space="preserve">Telemetry Data </w:t>
      </w:r>
      <w:r>
        <w:t xml:space="preserve">encompasses operational and status information transmitted from collection platforms, including platform position, heading, depth, altitude, power status, system health indicators, and command acknowledgments. Telemetry data is essential for establishing the operational context of data collection and SHALL be preserved with the same rigor as primary sensor data.</w:t>
      </w:r>
    </w:p>
    <w:p>
      <w:pPr>
        <w:spacing w:after="200"/>
      </w:pPr>
      <w:r>
        <w:rPr>
          <w:b/>
          <w:bCs/>
        </w:rPr>
        <w:t xml:space="preserve">Imagery Data </w:t>
      </w:r>
      <w:r>
        <w:t xml:space="preserve">encompasses photographic, video, sonar, and other imaging modalities used to capture visual or acoustic representations of the marine environment, seafloor, water column, or objects therein. Imagery data includes both the primary image content and all associated metadata, including acquisition parameters, georeferencing information, and any embedded calibration data.</w:t>
      </w:r>
    </w:p>
    <w:p>
      <w:pPr>
        <w:spacing w:after="200"/>
      </w:pPr>
      <w:r>
        <w:rPr>
          <w:b/>
          <w:bCs/>
        </w:rPr>
        <w:t xml:space="preserve">Derived Products </w:t>
      </w:r>
      <w:r>
        <w:t xml:space="preserve">encompass any data products generated through processing, analysis, or combination of raw data, including but not limited to mosaics, bathymetric models, species counts, habitat classifications, and statistical summaries. Derived products include intermediate processing products as well as final deliverables.</w:t>
      </w:r>
    </w:p>
    <w:p>
      <w:pPr>
        <w:pStyle w:val="Heading2"/>
        <w:spacing w:before="300" w:after="150"/>
      </w:pPr>
      <w:r>
        <w:rPr>
          <w:b/>
          <w:bCs/>
          <w:sz w:val="26"/>
          <w:szCs w:val="26"/>
        </w:rPr>
        <w:t xml:space="preserve">1.3 Applicable Collection Platforms</w:t>
      </w:r>
    </w:p>
    <w:p>
      <w:pPr>
        <w:spacing w:after="200"/>
      </w:pPr>
      <w:r>
        <w:t xml:space="preserve">This standard applies to data collected by any platform operating in ocean or subsea environments, regardless of the degree of human involvement in platform operation.</w:t>
      </w:r>
    </w:p>
    <w:p>
      <w:pPr>
        <w:spacing w:after="200"/>
      </w:pPr>
      <w:r>
        <w:rPr>
          <w:b/>
          <w:bCs/>
        </w:rPr>
        <w:t xml:space="preserve">Human-Operated Platforms </w:t>
      </w:r>
      <w:r>
        <w:t xml:space="preserve">include crewed vessels, crewed submersibles, and any platform where human operators directly control data collection activities in real time. Human operation does not diminish the requirements of this standard; human operators are responsible for ensuring that data collection occurs in compliance with all applicable requirements.</w:t>
      </w:r>
    </w:p>
    <w:p>
      <w:pPr>
        <w:spacing w:after="200"/>
      </w:pPr>
      <w:r>
        <w:rPr>
          <w:b/>
          <w:bCs/>
        </w:rPr>
        <w:t xml:space="preserve">Remotely-Operated Platforms </w:t>
      </w:r>
      <w:r>
        <w:t xml:space="preserve">include remotely operated vehicles, towed systems, and any platform where human operators control data collection activities through a communication link, regardless of the length or latency of that link. The presence of a communication link does not affect the applicable requirements; data collected via remote operation is subject to identical standards as data collected by direct human operation.</w:t>
      </w:r>
    </w:p>
    <w:p>
      <w:pPr>
        <w:spacing w:after="200"/>
      </w:pPr>
      <w:r>
        <w:rPr>
          <w:b/>
          <w:bCs/>
        </w:rPr>
        <w:t xml:space="preserve">Autonomous Platforms </w:t>
      </w:r>
      <w:r>
        <w:t xml:space="preserve">include autonomous underwater vehicles, autonomous surface vehicles, profiling floats, gliders, fixed moorings with autonomous sampling capabilities, and any platform that executes data collection activities without real-time human control. The requirements applicable to autonomous platforms SHALL also apply to any period during which a normally human-operated or remotely-operated platform operates autonomously, including loss-of-communication contingency operations.</w:t>
      </w:r>
    </w:p>
    <w:p>
      <w:pPr>
        <w:pStyle w:val="Heading2"/>
        <w:spacing w:before="300" w:after="150"/>
      </w:pPr>
      <w:r>
        <w:rPr>
          <w:b/>
          <w:bCs/>
          <w:sz w:val="26"/>
          <w:szCs w:val="26"/>
        </w:rPr>
        <w:t xml:space="preserve">1.4 Exclusions</w:t>
      </w:r>
    </w:p>
    <w:p>
      <w:pPr>
        <w:spacing w:after="200"/>
      </w:pPr>
      <w:r>
        <w:t xml:space="preserve">This standard does not govern data that has passed outside the custody of an ODICS-compliant organization to a third party that has not adopted this standard. Once data leaves ODICS-compliant custody, the original custodian is no longer responsible for the integrity of copies held by non-compliant parties, though the original custodian SHALL maintain compliant copies of all data that was ever in their custody.</w:t>
      </w:r>
    </w:p>
    <w:p>
      <w:pPr>
        <w:spacing w:after="200"/>
      </w:pPr>
      <w:r>
        <w:t xml:space="preserve">This standard does not govern data that was collected prior to the adopting organization's implementation of ODICS-001, unless the organization chooses to apply the standard retroactively and documents such retroactive application. Retroactive application requires assessment of whether historical data meets current requirements and documentation of any gaps or limitations in the historical record.</w:t>
      </w:r>
    </w:p>
    <w:p>
      <w:pPr>
        <w:spacing w:after="200"/>
      </w:pPr>
      <w:r>
        <w:t xml:space="preserve">This standard does not govern post-collection scientific interpretation, hypothesis testing, or conclusions drawn from compliant data. The validity of analytical methods and the soundness of scientific conclusions are matters for peer review and scientific discourse, not for this custody and integrity standard. However, documentation of analytical methods applied to compliant data is subject to the transformation documentation requirements of this standard.</w:t>
      </w:r>
    </w:p>
    <w:p>
      <w:r>
        <w:br w:type="page"/>
      </w:r>
    </w:p>
    <w:p>
      <w:pPr>
        <w:pStyle w:val="Heading1"/>
        <w:spacing w:before="400" w:after="200"/>
      </w:pPr>
      <w:r>
        <w:rPr>
          <w:b/>
          <w:bCs/>
          <w:sz w:val="32"/>
          <w:szCs w:val="32"/>
        </w:rPr>
        <w:t xml:space="preserve">2. Definitions and Terminology</w:t>
      </w:r>
    </w:p>
    <w:p>
      <w:pPr>
        <w:spacing w:after="200"/>
      </w:pPr>
      <w:r>
        <w:t xml:space="preserve">The following definitions apply throughout this standard. These definitions are normative and SHALL be used to interpret all requirements. Where a term defined herein differs from common usage or from definitions in other standards, the definition provided herein governs for purposes of ODICS-001 compliance.</w:t>
      </w:r>
    </w:p>
    <w:p>
      <w:pPr>
        <w:pStyle w:val="Heading2"/>
        <w:spacing w:before="300" w:after="150"/>
      </w:pPr>
      <w:r>
        <w:rPr>
          <w:b/>
          <w:bCs/>
          <w:sz w:val="26"/>
          <w:szCs w:val="26"/>
        </w:rPr>
        <w:t xml:space="preserve">2.1 Core Data Definitions</w:t>
      </w:r>
    </w:p>
    <w:p>
      <w:pPr>
        <w:spacing w:after="200"/>
      </w:pPr>
      <w:r>
        <w:rPr>
          <w:b/>
          <w:bCs/>
        </w:rPr>
        <w:t xml:space="preserve">Raw Data: </w:t>
      </w:r>
      <w:r>
        <w:t xml:space="preserve">Data as initially captured by a sensor or collection system, prior to any processing, transformation, correction, or modification. Raw data represents the direct output of measurement instrumentation and includes all artifacts, noise, and errors present at the moment of capture. For purposes of this standard, data is considered raw if no computational process has altered the numeric values, pixel values, or sample values recorded by the originating instrument. Metadata added to raw data without altering the underlying measurements does not change the data's classification as raw. The addition of timestamps, position tags, and system identification at the time of collection is considered part of raw data capture, not a transformation.</w:t>
      </w:r>
    </w:p>
    <w:p>
      <w:pPr>
        <w:spacing w:after="200"/>
      </w:pPr>
      <w:r>
        <w:rPr>
          <w:b/>
          <w:bCs/>
        </w:rPr>
        <w:t xml:space="preserve">Derived Data: </w:t>
      </w:r>
      <w:r>
        <w:t xml:space="preserve">Any data product created through processing, transformation, combination, or analysis of raw data or other derived data. Derived data includes but is not limited to calibrated measurements, filtered signals, interpolated values, mosaicked images, gridded products, statistical summaries, and classifications. All derived data is traceable to its raw data inputs through the provenance chain required by this standard. The distinction between raw and derived data is fundamental; derived data cannot become raw data through any process.</w:t>
      </w:r>
    </w:p>
    <w:p>
      <w:pPr>
        <w:pStyle w:val="Heading2"/>
        <w:spacing w:before="300" w:after="150"/>
      </w:pPr>
      <w:r>
        <w:rPr>
          <w:b/>
          <w:bCs/>
          <w:sz w:val="26"/>
          <w:szCs w:val="26"/>
        </w:rPr>
        <w:t xml:space="preserve">2.2 Provenance and Custody Definitions</w:t>
      </w:r>
    </w:p>
    <w:p>
      <w:pPr>
        <w:spacing w:after="200"/>
      </w:pPr>
      <w:r>
        <w:rPr>
          <w:b/>
          <w:bCs/>
        </w:rPr>
        <w:t xml:space="preserve">Provenance: </w:t>
      </w:r>
      <w:r>
        <w:t xml:space="preserve">The complete, verifiable history of a data element from its creation through all transformations, transfers, and uses. Provenance includes the identity of all systems and personnel that have accessed or modified the data, the nature and parameters of all transformations applied, and the dates and times of all events in the data's history. Provenance information must be sufficient to reconstruct the full history of any data element and to reproduce any derived product from its raw inputs. Provenance is established through contemporaneous documentation; retrospective reconstruction of undocumented history does not create valid provenance.</w:t>
      </w:r>
    </w:p>
    <w:p>
      <w:pPr>
        <w:spacing w:after="200"/>
      </w:pPr>
      <w:r>
        <w:rPr>
          <w:b/>
          <w:bCs/>
        </w:rPr>
        <w:t xml:space="preserve">Custody: </w:t>
      </w:r>
      <w:r>
        <w:t xml:space="preserve">The state of having documented responsibility for the integrity, security, and proper handling of data. An organization or individual has custody of data when they have accepted responsibility for maintaining the data in accordance with applicable requirements and have the ability to control access to and modification of the data. Custody may transfer between parties through documented custody transfer procedures. Custody is distinct from mere possession; an organization that holds a copy of data without accepting custodial responsibility is not the custodian.</w:t>
      </w:r>
    </w:p>
    <w:p>
      <w:pPr>
        <w:spacing w:after="200"/>
      </w:pPr>
      <w:r>
        <w:rPr>
          <w:b/>
          <w:bCs/>
        </w:rPr>
        <w:t xml:space="preserve">Chain of Custody: </w:t>
      </w:r>
      <w:r>
        <w:t xml:space="preserve">The documented chronological history of custody of a data element from creation to present, demonstrating an unbroken sequence of custodians and custody transfers. A valid chain of custody requires documentation of each custodian's identity, the period of their custody, the means of custody transfer, and integrity verification at each transfer. Gaps in the chain of custody constitute potential integrity breaches.</w:t>
      </w:r>
    </w:p>
    <w:p>
      <w:pPr>
        <w:pStyle w:val="Heading2"/>
        <w:spacing w:before="300" w:after="150"/>
      </w:pPr>
      <w:r>
        <w:rPr>
          <w:b/>
          <w:bCs/>
          <w:sz w:val="26"/>
          <w:szCs w:val="26"/>
        </w:rPr>
        <w:t xml:space="preserve">2.3 Integrity Definitions</w:t>
      </w:r>
    </w:p>
    <w:p>
      <w:pPr>
        <w:spacing w:after="200"/>
      </w:pPr>
      <w:r>
        <w:rPr>
          <w:b/>
          <w:bCs/>
        </w:rPr>
        <w:t xml:space="preserve">Data Mutation: </w:t>
      </w:r>
      <w:r>
        <w:t xml:space="preserve">Any change to the content, structure, format, or representation of data after initial capture. Mutations include but are not limited to corrections, calibrations, format conversions, resampling, filtering, compression, and annotation. All mutations constitute transformations and are subject to the transformation documentation requirements of this standard. The term "mutation" is used to emphasize that any change, regardless of intent or magnitude, requires documentation.</w:t>
      </w:r>
    </w:p>
    <w:p>
      <w:pPr>
        <w:spacing w:after="200"/>
      </w:pPr>
      <w:r>
        <w:rPr>
          <w:b/>
          <w:bCs/>
        </w:rPr>
        <w:t xml:space="preserve">Integrity Breach: </w:t>
      </w:r>
      <w:r>
        <w:t xml:space="preserve">Any event that compromises the trustworthiness of data, including unauthorized access, unauthorized modification, corruption, loss, unplanned deletion, or any break in the chain of custody that cannot be reconciled through documentation. An integrity breach occurs regardless of whether the data was actually altered, if it cannot be demonstrated that the data was not altered during the period of compromised integrity. The standard of proof is that the custodian must be able to affirmatively demonstrate integrity, not merely assert that no breach occurred.</w:t>
      </w:r>
    </w:p>
    <w:p>
      <w:pPr>
        <w:spacing w:after="200"/>
      </w:pPr>
      <w:r>
        <w:rPr>
          <w:b/>
          <w:bCs/>
        </w:rPr>
        <w:t xml:space="preserve">Cryptographic Hash: </w:t>
      </w:r>
      <w:r>
        <w:t xml:space="preserve">A fixed-size digital fingerprint computed from data using a cryptographic hash function that has the properties of determinism (the same input always produces the same output), pre-image resistance (it is computationally infeasible to determine the input from the output), and collision resistance (it is computationally infeasible to find two different inputs that produce the same output). For purposes of this standard, acceptable hash functions include SHA-256, SHA-384, SHA-512, and SHA-3 variants. MD5 and SHA-1 are not acceptable due to known collision vulnerabilities.</w:t>
      </w:r>
    </w:p>
    <w:p>
      <w:pPr>
        <w:pStyle w:val="Heading2"/>
        <w:spacing w:before="300" w:after="150"/>
      </w:pPr>
      <w:r>
        <w:rPr>
          <w:b/>
          <w:bCs/>
          <w:sz w:val="26"/>
          <w:szCs w:val="26"/>
        </w:rPr>
        <w:t xml:space="preserve">2.4 Quality and Confidence Definitions</w:t>
      </w:r>
    </w:p>
    <w:p>
      <w:pPr>
        <w:spacing w:after="200"/>
      </w:pPr>
      <w:r>
        <w:rPr>
          <w:b/>
          <w:bCs/>
        </w:rPr>
        <w:t xml:space="preserve">Confidence Metric: </w:t>
      </w:r>
      <w:r>
        <w:t xml:space="preserve">A quantitative or qualitative indicator of the reliability, accuracy, or uncertainty of a data value, derived product, or metadata element. Confidence metrics include but are not limited to measurement uncertainty bounds, positional accuracy estimates, temporal accuracy estimates, and quality flags. Confidence metrics SHALL accompany all data where the underlying certainty is less than absolute. Confidence metrics SHALL be expressed using recognized conventions such as standard uncertainty, expanded uncertainty with coverage factor, or confidence intervals with stated probability levels.</w:t>
      </w:r>
    </w:p>
    <w:p>
      <w:pPr>
        <w:spacing w:after="200"/>
      </w:pPr>
      <w:r>
        <w:rPr>
          <w:b/>
          <w:bCs/>
        </w:rPr>
        <w:t xml:space="preserve">Audit Trail: </w:t>
      </w:r>
      <w:r>
        <w:t xml:space="preserve">A chronological record of all events relevant to the integrity, custody, and handling of data. The audit trail includes all accesses, modifications, transfers, and administrative actions affecting data, with sufficient detail to support independent verification of the data's history. Audit trails are themselves subject to integrity and retention requirements. An audit trail that can be modified by the parties whose actions it records does not meet the requirements of this standard.</w:t>
      </w:r>
    </w:p>
    <w:p>
      <w:pPr>
        <w:spacing w:after="200"/>
      </w:pPr>
      <w:r>
        <w:rPr>
          <w:b/>
          <w:bCs/>
        </w:rPr>
        <w:t xml:space="preserve">Tamper-Evident: </w:t>
      </w:r>
      <w:r>
        <w:t xml:space="preserve">A property of records or storage systems whereby unauthorized modification can be detected. Tamper evidence may be achieved through cryptographic mechanisms, physical security measures, or combinations thereof. A tamper-evident system does not necessarily prevent tampering but ensures that tampering leaves detectable evidence. For this standard, audit trails and integrity verification records SHALL be maintained in tamper-evident form.</w:t>
      </w:r>
    </w:p>
    <w:p>
      <w:r>
        <w:br w:type="page"/>
      </w:r>
    </w:p>
    <w:p>
      <w:pPr>
        <w:pStyle w:val="Heading1"/>
        <w:spacing w:before="400" w:after="200"/>
      </w:pPr>
      <w:r>
        <w:rPr>
          <w:b/>
          <w:bCs/>
          <w:sz w:val="32"/>
          <w:szCs w:val="32"/>
        </w:rPr>
        <w:t xml:space="preserve">3. Data Lifecycle and Custody Model</w:t>
      </w:r>
    </w:p>
    <w:p>
      <w:pPr>
        <w:pStyle w:val="Heading2"/>
        <w:spacing w:before="300" w:after="150"/>
      </w:pPr>
      <w:r>
        <w:rPr>
          <w:b/>
          <w:bCs/>
          <w:sz w:val="26"/>
          <w:szCs w:val="26"/>
        </w:rPr>
        <w:t xml:space="preserve">3.1 Lifecycle Stages</w:t>
      </w:r>
    </w:p>
    <w:p>
      <w:pPr>
        <w:spacing w:after="200"/>
      </w:pPr>
      <w:r>
        <w:t xml:space="preserve">All data governed by this standard passes through a defined lifecycle. Organizations SHALL recognize and document the stage of each data element within this lifecycle and SHALL apply stage-appropriate handling requirements.</w:t>
      </w:r>
    </w:p>
    <w:p>
      <w:pPr>
        <w:spacing w:after="200"/>
      </w:pPr>
      <w:r>
        <w:rPr>
          <w:b/>
          <w:bCs/>
        </w:rPr>
        <w:t xml:space="preserve">Data Creation </w:t>
      </w:r>
      <w:r>
        <w:t xml:space="preserve">is the stage at which a measurement is made or a data value is generated by an instrument, sensor, or computational process. The moment of creation establishes the fundamental provenance anchor for the data. Organizations SHALL record the time, location, platform, instrument, and operational context at the moment of data creation with sufficient precision to support all downstream integrity requirements. For autonomous systems, the creation stage includes the autonomous decisions that led to the measurement being taken.</w:t>
      </w:r>
    </w:p>
    <w:p>
      <w:pPr>
        <w:spacing w:after="200"/>
      </w:pPr>
      <w:r>
        <w:rPr>
          <w:b/>
          <w:bCs/>
        </w:rPr>
        <w:t xml:space="preserve">Initial Capture </w:t>
      </w:r>
      <w:r>
        <w:t xml:space="preserve">is the stage at which created data is first recorded in persistent storage. Initial capture may occur simultaneously with creation or may be delayed by buffering or transmission processes. Organizations SHALL document any delay between creation and initial capture and SHALL record the integrity state of data at the moment of initial capture. Initial capture SHALL include computation and recording of cryptographic hash values for the captured data.</w:t>
      </w:r>
    </w:p>
    <w:p>
      <w:pPr>
        <w:spacing w:after="200"/>
      </w:pPr>
      <w:r>
        <w:rPr>
          <w:b/>
          <w:bCs/>
        </w:rPr>
        <w:t xml:space="preserve">Storage </w:t>
      </w:r>
      <w:r>
        <w:t xml:space="preserve">encompasses all periods during which data resides in a storage system awaiting further action. Storage may be active, where data is readily accessible for use, or archival, where data is preserved but not routinely accessed. Organizations SHALL maintain documented storage procedures appropriate to each storage context and SHALL ensure that storage conditions do not degrade data integrity. Storage systems SHALL implement integrity verification at regular intervals as specified in Section 7.</w:t>
      </w:r>
    </w:p>
    <w:p>
      <w:pPr>
        <w:spacing w:after="200"/>
      </w:pPr>
      <w:r>
        <w:rPr>
          <w:b/>
          <w:bCs/>
        </w:rPr>
        <w:t xml:space="preserve">Transfer </w:t>
      </w:r>
      <w:r>
        <w:t xml:space="preserve">encompasses all movements of data between storage systems, organizations, or custody holders. Transfer includes both physical movement of storage media and electronic transmission of data. Organizations SHALL maintain chain of custody documentation for all transfers and SHALL verify data integrity before and after each transfer using cryptographic hash comparison.</w:t>
      </w:r>
    </w:p>
    <w:p>
      <w:pPr>
        <w:spacing w:after="200"/>
      </w:pPr>
      <w:r>
        <w:rPr>
          <w:b/>
          <w:bCs/>
        </w:rPr>
        <w:t xml:space="preserve">Transformation </w:t>
      </w:r>
      <w:r>
        <w:t xml:space="preserve">encompasses all processing, analysis, or modification operations that create derived data from raw data or other derived data. Organizations SHALL document all transformations in accordance with the requirements of Section 8 and SHALL maintain links between derived products and their source data.</w:t>
      </w:r>
    </w:p>
    <w:p>
      <w:pPr>
        <w:spacing w:after="200"/>
      </w:pPr>
      <w:r>
        <w:rPr>
          <w:b/>
          <w:bCs/>
        </w:rPr>
        <w:t xml:space="preserve">Archival </w:t>
      </w:r>
      <w:r>
        <w:t xml:space="preserve">is the stage at which data is placed in long-term preservation storage. Archived data SHALL remain accessible and SHALL retain full provenance and integrity information. The act of archiving data does not reduce the obligations of the custodian to maintain and defend that data. Archival systems SHALL meet the technical requirements specified in Section 12.</w:t>
      </w:r>
    </w:p>
    <w:p>
      <w:pPr>
        <w:spacing w:after="200"/>
      </w:pPr>
      <w:r>
        <w:rPr>
          <w:b/>
          <w:bCs/>
        </w:rPr>
        <w:t xml:space="preserve">Decommissioning or Deletion </w:t>
      </w:r>
      <w:r>
        <w:t xml:space="preserve">is the stage at which data is intentionally removed from all storage systems. Decommissioning SHALL only occur in accordance with documented retention policies and SHALL be recorded in audit trails that survive the deletion of the data itself. Deletion records SHALL include cryptographic hashes of the deleted data to support verification that specific data was indeed deleted.</w:t>
      </w:r>
    </w:p>
    <w:p>
      <w:pPr>
        <w:pStyle w:val="Heading2"/>
        <w:spacing w:before="300" w:after="150"/>
      </w:pPr>
      <w:r>
        <w:rPr>
          <w:b/>
          <w:bCs/>
          <w:sz w:val="26"/>
          <w:szCs w:val="26"/>
        </w:rPr>
        <w:t xml:space="preserve">3.2 Custodial Responsibility</w:t>
      </w:r>
    </w:p>
    <w:p>
      <w:pPr>
        <w:spacing w:after="200"/>
      </w:pPr>
      <w:r>
        <w:t xml:space="preserve">At every stage of the data lifecycle, exactly one organization or individual SHALL have documented custody of each data element. The custodian is responsible for all integrity, security, and handling requirements applicable to data in their custody. Joint custody is not permitted; where multiple parties require access to data, one party SHALL be designated as the custodian with responsibility for maintaining the authoritative copy, and other parties SHALL receive documented copies with clear designation as non-custodial.</w:t>
      </w:r>
    </w:p>
    <w:p>
      <w:pPr>
        <w:spacing w:after="200"/>
      </w:pPr>
      <w:r>
        <w:t xml:space="preserve">Custodians SHALL maintain the capability to demonstrate compliance with all applicable requirements at any time during their custody. This capability includes access to complete audit trails, provenance records, and integrity verification mechanisms. Custodians who cannot demonstrate compliance SHALL treat the data as potentially compromised and SHALL initiate breach response procedures as specified in Section 11.</w:t>
      </w:r>
    </w:p>
    <w:p>
      <w:pPr>
        <w:pStyle w:val="Heading2"/>
        <w:spacing w:before="300" w:after="150"/>
      </w:pPr>
      <w:r>
        <w:rPr>
          <w:b/>
          <w:bCs/>
          <w:sz w:val="26"/>
          <w:szCs w:val="26"/>
        </w:rPr>
        <w:t xml:space="preserve">3.3 Custody Transfer</w:t>
      </w:r>
    </w:p>
    <w:p>
      <w:pPr>
        <w:spacing w:after="200"/>
      </w:pPr>
      <w:r>
        <w:t xml:space="preserve">Custody transfers SHALL occur only through documented procedures that ensure no gap in responsibility. The transferring custodian SHALL provide complete provenance and integrity documentation to the receiving custodian. The receiving custodian SHALL verify data integrity upon receipt using cryptographic hash comparison and SHALL acknowledge acceptance of custody in writing. Until written acknowledgment is received, the transferring custodian retains custody and responsibility.</w:t>
      </w:r>
    </w:p>
    <w:p>
      <w:pPr>
        <w:spacing w:after="200"/>
      </w:pPr>
      <w:r>
        <w:t xml:space="preserve">Custody transfer documentation SHALL include the identity of both parties with sufficient detail to enable subsequent contact and verification, the date and time of transfer in coordinated universal time (UTC), a complete manifest of transferred data including file names, sizes, and cryptographic hashes, integrity verification results showing hash comparison between source and received data, any conditions or limitations on the transfer, and signatures or authenticated acknowledgments from authorized representatives of both parties.</w:t>
      </w:r>
    </w:p>
    <w:p>
      <w:pPr>
        <w:pStyle w:val="Heading2"/>
        <w:spacing w:before="300" w:after="150"/>
      </w:pPr>
      <w:r>
        <w:rPr>
          <w:b/>
          <w:bCs/>
          <w:sz w:val="26"/>
          <w:szCs w:val="26"/>
        </w:rPr>
        <w:t xml:space="preserve">3.4 Prohibited Custody Gaps</w:t>
      </w:r>
    </w:p>
    <w:p>
      <w:pPr>
        <w:spacing w:after="200"/>
      </w:pPr>
      <w:r>
        <w:t xml:space="preserve">At no time SHALL data governed by this standard exist without a documented custodian. Any period during which custody is ambiguous, disputed, or undocumented constitutes an integrity breach. Organizations SHALL implement procedures to prevent custody gaps during personnel transitions, organizational changes, system migrations, and other operational events that might otherwise create periods of uncertain custody.</w:t>
      </w:r>
    </w:p>
    <w:p>
      <w:pPr>
        <w:spacing w:after="200"/>
      </w:pPr>
      <w:r>
        <w:t xml:space="preserve">Specifically, organizations SHALL designate backup custodians for all data, SHALL document succession procedures for custodial responsibility, SHALL ensure that system migrations include custody transfer documentation, and SHALL conduct periodic audits to verify that all data has a documented current custodian.</w:t>
      </w:r>
    </w:p>
    <w:p>
      <w:r>
        <w:br w:type="page"/>
      </w:r>
    </w:p>
    <w:p>
      <w:pPr>
        <w:pStyle w:val="Heading1"/>
        <w:spacing w:before="400" w:after="200"/>
      </w:pPr>
      <w:r>
        <w:rPr>
          <w:b/>
          <w:bCs/>
          <w:sz w:val="32"/>
          <w:szCs w:val="32"/>
        </w:rPr>
        <w:t xml:space="preserve">4. Sensor Calibration and Traceability</w:t>
      </w:r>
    </w:p>
    <w:p>
      <w:pPr>
        <w:pStyle w:val="Heading2"/>
        <w:spacing w:before="300" w:after="150"/>
      </w:pPr>
      <w:r>
        <w:rPr>
          <w:b/>
          <w:bCs/>
          <w:sz w:val="26"/>
          <w:szCs w:val="26"/>
        </w:rPr>
        <w:t xml:space="preserve">4.1 Calibration Requirements</w:t>
      </w:r>
    </w:p>
    <w:p>
      <w:pPr>
        <w:spacing w:after="200"/>
      </w:pPr>
      <w:r>
        <w:t xml:space="preserve">All sensors and instruments used to collect data governed by this standard SHALL be calibrated in accordance with manufacturer specifications or documented alternative procedures that provide equivalent or superior accuracy assurance. Organizations SHALL maintain calibration schedules for all instruments and SHALL ensure that calibrations are performed before their scheduled expiration.</w:t>
      </w:r>
    </w:p>
    <w:p>
      <w:pPr>
        <w:spacing w:after="200"/>
      </w:pPr>
      <w:r>
        <w:t xml:space="preserve">Calibration SHALL be performed by personnel with documented qualifications or by calibration authorities with recognized competence in the relevant measurement domain. Organizations SHALL maintain records of the qualifications of personnel performing calibrations and SHALL verify the credentials of external calibration authorities. Acceptable credentials include accreditation to ISO/IEC 17025 for calibration laboratories, manufacturer certification for instrument-specific calibration, or documented competency assessment by the organization with evidence of method validation.</w:t>
      </w:r>
    </w:p>
    <w:p>
      <w:pPr>
        <w:pStyle w:val="Heading2"/>
        <w:spacing w:before="300" w:after="150"/>
      </w:pPr>
      <w:r>
        <w:rPr>
          <w:b/>
          <w:bCs/>
          <w:sz w:val="26"/>
          <w:szCs w:val="26"/>
        </w:rPr>
        <w:t xml:space="preserve">4.2 Traceability to Reference Standards</w:t>
      </w:r>
    </w:p>
    <w:p>
      <w:pPr>
        <w:spacing w:after="200"/>
      </w:pPr>
      <w:r>
        <w:t xml:space="preserve">Calibrations SHALL be traceable to recognized national or international measurement standards. Traceability SHALL be documented through an unbroken chain of comparisons, each with stated uncertainties. For physical measurements, traceability typically extends to national metrology institutes such as NIST (United States), NPL (United Kingdom), PTB (Germany), or equivalent institutions.</w:t>
      </w:r>
    </w:p>
    <w:p>
      <w:pPr>
        <w:spacing w:after="200"/>
      </w:pPr>
      <w:r>
        <w:t xml:space="preserve">Where direct traceability to national standards is not practical, organizations SHALL document the traceability chain to the highest available reference standard and SHALL include assessment of the additional uncertainty introduced by the indirect traceability path. Reference materials used for calibration SHALL have documented purity, composition, or other relevant properties with stated uncertainties.</w:t>
      </w:r>
    </w:p>
    <w:p>
      <w:pPr>
        <w:pStyle w:val="Heading2"/>
        <w:spacing w:before="300" w:after="150"/>
      </w:pPr>
      <w:r>
        <w:rPr>
          <w:b/>
          <w:bCs/>
          <w:sz w:val="26"/>
          <w:szCs w:val="26"/>
        </w:rPr>
        <w:t xml:space="preserve">4.3 Calibration Intervals</w:t>
      </w:r>
    </w:p>
    <w:p>
      <w:pPr>
        <w:spacing w:after="200"/>
      </w:pPr>
      <w:r>
        <w:t xml:space="preserve">Calibration intervals SHALL be established for each instrument based on manufacturer recommendations, regulatory requirements, historical drift data, and the criticality of measurements made by that instrument. Organizations SHALL document the rationale for selected calibration intervals and SHALL adjust intervals based on observed instrument behavior.</w:t>
      </w:r>
    </w:p>
    <w:p>
      <w:pPr>
        <w:spacing w:after="200"/>
      </w:pPr>
      <w:r>
        <w:t xml:space="preserve">Instruments SHALL not be used to collect data governed by this standard when their calibration has expired, unless the data is explicitly flagged as collected with an out-of-calibration instrument and appropriate uncertainty bounds are applied to all measurements. The decision to collect data with an out-of-calibration instrument SHALL be documented with rationale and approved by a designated authority.</w:t>
      </w:r>
    </w:p>
    <w:p>
      <w:pPr>
        <w:pStyle w:val="Heading2"/>
        <w:spacing w:before="300" w:after="150"/>
      </w:pPr>
      <w:r>
        <w:rPr>
          <w:b/>
          <w:bCs/>
          <w:sz w:val="26"/>
          <w:szCs w:val="26"/>
        </w:rPr>
        <w:t xml:space="preserve">4.4 Calibration State Documentation</w:t>
      </w:r>
    </w:p>
    <w:p>
      <w:pPr>
        <w:spacing w:after="200"/>
      </w:pPr>
      <w:r>
        <w:t xml:space="preserve">For every data element collected under this standard, organizations SHALL record the calibration state of the collecting instrument at the time of collection. This record SHALL include the date of last calibration, the date of next scheduled calibration, the calibration authority or laboratory, the calibration certificate number or reference, all calibration parameters and their values, and any conditions or limitations noted during calibration.</w:t>
      </w:r>
    </w:p>
    <w:p>
      <w:pPr>
        <w:spacing w:after="200"/>
      </w:pPr>
      <w:r>
        <w:t xml:space="preserve">Where instruments have multiple calibration parameters or multiple calibrated sensing elements, the calibration state record SHALL include sufficient detail to identify the calibration status of each parameter or element affecting the collected data. The calibration record SHALL be linked to the data through provenance documentation such that an auditor can determine the exact calibration state applicable to any specific measurement.</w:t>
      </w:r>
    </w:p>
    <w:p>
      <w:pPr>
        <w:pStyle w:val="Heading2"/>
        <w:spacing w:before="300" w:after="150"/>
      </w:pPr>
      <w:r>
        <w:rPr>
          <w:b/>
          <w:bCs/>
          <w:sz w:val="26"/>
          <w:szCs w:val="26"/>
        </w:rPr>
        <w:t xml:space="preserve">4.5 Out-of-Calibration Data</w:t>
      </w:r>
    </w:p>
    <w:p>
      <w:pPr>
        <w:spacing w:after="200"/>
      </w:pPr>
      <w:r>
        <w:t xml:space="preserve">Data collected by instruments that are subsequently discovered to have been out of calibration at the time of collection SHALL be flagged immediately upon discovery of the calibration issue. The flag SHALL indicate the nature of the calibration failure, the period during which data may be affected, and the potential impact on measurement accuracy.</w:t>
      </w:r>
    </w:p>
    <w:p>
      <w:pPr>
        <w:spacing w:after="200"/>
      </w:pPr>
      <w:r>
        <w:t xml:space="preserve">Out-of-calibration data SHALL NOT be deleted or modified to conceal the calibration issue. Organizations MAY apply post-hoc corrections to out-of-calibration data if the correction methodology is documented, validated, and applied consistently to all affected data. Both the original out-of-calibration data and the corrected data SHALL be retained, with clear documentation linking them and identifying the correction applied.</w:t>
      </w:r>
    </w:p>
    <w:p>
      <w:pPr>
        <w:pStyle w:val="Heading2"/>
        <w:spacing w:before="300" w:after="150"/>
      </w:pPr>
      <w:r>
        <w:rPr>
          <w:b/>
          <w:bCs/>
          <w:sz w:val="26"/>
          <w:szCs w:val="26"/>
        </w:rPr>
        <w:t xml:space="preserve">4.6 Drift Monitoring and Environmental Effects</w:t>
      </w:r>
    </w:p>
    <w:p>
      <w:pPr>
        <w:spacing w:after="200"/>
      </w:pPr>
      <w:r>
        <w:t xml:space="preserve">Organizations SHALL implement procedures to monitor and characterize sensor drift between calibrations. Drift monitoring SHALL be sufficient to detect calibration degradation before it exceeds acceptable uncertainty bounds for the intended use of the data. Methods for drift monitoring include periodic comparison against reference standards, cross-comparison between redundant sensors, and analysis of data consistency over time.</w:t>
      </w:r>
    </w:p>
    <w:p>
      <w:pPr>
        <w:spacing w:after="200"/>
      </w:pPr>
      <w:r>
        <w:t xml:space="preserve">Organizations SHALL document known environmental effects on sensor performance, including but not limited to temperature effects, pressure effects, biofouling, and aging. Where environmental conditions during data collection may have affected sensor performance, this information SHALL be recorded in data metadata. Calibrations SHALL be performed under conditions representative of operational use, or calibration results SHALL include corrections or uncertainty adjustments for expected environmental differences between calibration and operational conditions.</w:t>
      </w:r>
    </w:p>
    <w:p>
      <w:pPr>
        <w:pStyle w:val="Heading2"/>
        <w:spacing w:before="300" w:after="150"/>
      </w:pPr>
      <w:r>
        <w:rPr>
          <w:b/>
          <w:bCs/>
          <w:sz w:val="26"/>
          <w:szCs w:val="26"/>
        </w:rPr>
        <w:t xml:space="preserve">4.7 Post-Mission Calibration Reconciliation</w:t>
      </w:r>
    </w:p>
    <w:p>
      <w:pPr>
        <w:spacing w:after="200"/>
      </w:pPr>
      <w:r>
        <w:t xml:space="preserve">Following each mission or deployment, organizations SHALL perform post-mission calibration checks on all instruments where such checks are technically feasible. Post-mission calibration results SHALL be compared to pre-mission calibration to assess instrument stability during the mission.</w:t>
      </w:r>
    </w:p>
    <w:p>
      <w:pPr>
        <w:spacing w:after="200"/>
      </w:pPr>
      <w:r>
        <w:t xml:space="preserve">Where post-mission calibration reveals drift or degradation beyond expected bounds, organizations SHALL review all data collected during the mission and SHALL apply appropriate uncertainty adjustments or quality flags. The reconciliation process and its findings SHALL be documented and linked to all affected data. If post-mission checks cannot be performed, this limitation SHALL be documented in the data metadata.</w:t>
      </w:r>
    </w:p>
    <w:p>
      <w:r>
        <w:br w:type="page"/>
      </w:r>
    </w:p>
    <w:p>
      <w:pPr>
        <w:pStyle w:val="Heading1"/>
        <w:spacing w:before="400" w:after="200"/>
      </w:pPr>
      <w:r>
        <w:rPr>
          <w:b/>
          <w:bCs/>
          <w:sz w:val="32"/>
          <w:szCs w:val="32"/>
        </w:rPr>
        <w:t xml:space="preserve">5. Timestamp Integrity and Temporal Confidence</w:t>
      </w:r>
    </w:p>
    <w:p>
      <w:pPr>
        <w:pStyle w:val="Heading2"/>
        <w:spacing w:before="300" w:after="150"/>
      </w:pPr>
      <w:r>
        <w:rPr>
          <w:b/>
          <w:bCs/>
          <w:sz w:val="26"/>
          <w:szCs w:val="26"/>
        </w:rPr>
        <w:t xml:space="preserve">5.1 Time Source Requirements</w:t>
      </w:r>
    </w:p>
    <w:p>
      <w:pPr>
        <w:spacing w:after="200"/>
      </w:pPr>
      <w:r>
        <w:t xml:space="preserve">All data governed by this standard SHALL be timestamped using time sources with documented accuracy and traceability to Coordinated Universal Time (UTC). Acceptable time sources include Global Navigation Satellite System (GNSS) time from GPS, GLONASS, Galileo, or BeiDou constellations; Network Time Protocol (NTP) synchronized clocks with documented stratum and accuracy, where stratum 2 or better is REQUIRED for primary time sources; Precision Time Protocol (PTP/IEEE 1588) synchronized clocks for applications requiring sub-microsecond accuracy; and atomic clocks or oscillators with documented drift characteristics and periodic synchronization to UTC.</w:t>
      </w:r>
    </w:p>
    <w:p>
      <w:pPr>
        <w:spacing w:after="200"/>
      </w:pPr>
      <w:r>
        <w:t xml:space="preserve">Organizations SHALL document the time source used for each data collection system and SHALL maintain records of time source accuracy and synchronization status. Time source documentation SHALL include the nominal accuracy specification, the method of traceability to UTC, and the synchronization protocol and frequency.</w:t>
      </w:r>
    </w:p>
    <w:p>
      <w:pPr>
        <w:pStyle w:val="Heading2"/>
        <w:spacing w:before="300" w:after="150"/>
      </w:pPr>
      <w:r>
        <w:rPr>
          <w:b/>
          <w:bCs/>
          <w:sz w:val="26"/>
          <w:szCs w:val="26"/>
        </w:rPr>
        <w:t xml:space="preserve">5.2 Timestamp Format Requirements</w:t>
      </w:r>
    </w:p>
    <w:p>
      <w:pPr>
        <w:spacing w:after="200"/>
      </w:pPr>
      <w:r>
        <w:t xml:space="preserve">All timestamps SHALL be recorded in unambiguous format. The REQUIRED format for interchange and archival is ISO 8601 extended format with explicit timezone designation, specifically YYYY-MM-DDThh:mm:ss.sssZ for UTC or YYYY-MM-DDThh:mm:ss.sss±hh:mm for local time with offset. Timestamps SHALL include sufficient decimal places in seconds to represent the actual temporal resolution of the measurement, but SHALL NOT include false precision beyond the accuracy of the time source.</w:t>
      </w:r>
    </w:p>
    <w:p>
      <w:pPr>
        <w:spacing w:after="200"/>
      </w:pPr>
      <w:r>
        <w:t xml:space="preserve">Internal system timestamps MAY use other formats for operational efficiency, provided that conversion to the standard format is lossless and the conversion algorithm is documented. Ambiguous formats such as MM/DD/YY or DD/MM/YY SHALL NOT be used. Timestamps without timezone information SHALL NOT be used unless accompanied by explicit documentation of the applicable timezone.</w:t>
      </w:r>
    </w:p>
    <w:p>
      <w:pPr>
        <w:pStyle w:val="Heading2"/>
        <w:spacing w:before="300" w:after="150"/>
      </w:pPr>
      <w:r>
        <w:rPr>
          <w:b/>
          <w:bCs/>
          <w:sz w:val="26"/>
          <w:szCs w:val="26"/>
        </w:rPr>
        <w:t xml:space="preserve">5.3 Synchronization Requirements</w:t>
      </w:r>
    </w:p>
    <w:p>
      <w:pPr>
        <w:spacing w:after="200"/>
      </w:pPr>
      <w:r>
        <w:t xml:space="preserve">Data collection systems SHALL be synchronized to their reference time source prior to each mission or deployment. The synchronization accuracy achieved SHALL be documented and SHALL be sufficient to support the temporal accuracy requirements of intended data uses. Pre-mission synchronization records SHALL include the reference time source, the synchronization method, the achieved accuracy, and the timestamp of synchronization.</w:t>
      </w:r>
    </w:p>
    <w:p>
      <w:pPr>
        <w:spacing w:after="200"/>
      </w:pPr>
      <w:r>
        <w:t xml:space="preserve">For missions or deployments exceeding the period over which the collection system can maintain adequate time accuracy, organizations SHALL implement procedures for periodic resynchronization or SHALL document the expected time drift over the mission duration and apply appropriate uncertainty bounds. Clock drift rates SHALL be characterized for each system type and documented in system specifications.</w:t>
      </w:r>
    </w:p>
    <w:p>
      <w:pPr>
        <w:pStyle w:val="Heading2"/>
        <w:spacing w:before="300" w:after="150"/>
      </w:pPr>
      <w:r>
        <w:rPr>
          <w:b/>
          <w:bCs/>
          <w:sz w:val="26"/>
          <w:szCs w:val="26"/>
        </w:rPr>
        <w:t xml:space="preserve">5.4 Drift Tolerance Specifications</w:t>
      </w:r>
    </w:p>
    <w:p>
      <w:pPr>
        <w:spacing w:after="200"/>
      </w:pPr>
      <w:r>
        <w:t xml:space="preserve">Organizations SHALL establish drift tolerance specifications for each data collection system based on the temporal accuracy requirements of intended data uses. Drift tolerances SHALL be documented and SHALL include both the acceptable drift rate and the maximum cumulative drift before resynchronization is required.</w:t>
      </w:r>
    </w:p>
    <w:p>
      <w:pPr>
        <w:spacing w:after="200"/>
      </w:pPr>
      <w:r>
        <w:t xml:space="preserve">Systems that exceed drift tolerances during operation SHALL have their timestamps flagged as degraded. Data collected during periods of excessive drift SHALL carry uncertainty bounds reflecting the actual drift at the time of collection, not the nominal system specifications. The following drift tolerances are RECOMMENDED as minimum requirements: for oceanographic surveys requiring spatial correlation, drift SHALL not exceed one (1) second per day; for time-series analysis, drift SHALL not exceed one hundred (100) milliseconds per day; for acoustic positioning, drift SHALL not exceed ten (10) milliseconds per day.</w:t>
      </w:r>
    </w:p>
    <w:p>
      <w:pPr>
        <w:pStyle w:val="Heading2"/>
        <w:spacing w:before="300" w:after="150"/>
      </w:pPr>
      <w:r>
        <w:rPr>
          <w:b/>
          <w:bCs/>
          <w:sz w:val="26"/>
          <w:szCs w:val="26"/>
        </w:rPr>
        <w:t xml:space="preserve">5.5 Time Uncertainty Representation</w:t>
      </w:r>
    </w:p>
    <w:p>
      <w:pPr>
        <w:spacing w:after="200"/>
      </w:pPr>
      <w:r>
        <w:t xml:space="preserve">Every timestamp in data governed by this standard SHALL be accompanied by an uncertainty value or uncertainty bound. The uncertainty SHALL reflect all known sources of timing error, including time source accuracy, synchronization accuracy, system latency, and any accumulated drift since last synchronization.</w:t>
      </w:r>
    </w:p>
    <w:p>
      <w:pPr>
        <w:spacing w:after="200"/>
      </w:pPr>
      <w:r>
        <w:t xml:space="preserve">Time uncertainty SHALL be represented in a consistent format throughout each dataset and SHALL be documented in dataset metadata. Acceptable representations include symmetric uncertainty bounds expressed as ± seconds, asymmetric confidence intervals with stated bounds, and standard uncertainty expressed as one standard deviation. The representation chosen SHALL be appropriate for the magnitude and distribution of timing errors.</w:t>
      </w:r>
    </w:p>
    <w:p>
      <w:pPr>
        <w:pStyle w:val="Heading2"/>
        <w:spacing w:before="300" w:after="150"/>
      </w:pPr>
      <w:r>
        <w:rPr>
          <w:b/>
          <w:bCs/>
          <w:sz w:val="26"/>
          <w:szCs w:val="26"/>
        </w:rPr>
        <w:t xml:space="preserve">5.6 Degraded or Ambiguous Time Sources</w:t>
      </w:r>
    </w:p>
    <w:p>
      <w:pPr>
        <w:spacing w:after="200"/>
      </w:pPr>
      <w:r>
        <w:t xml:space="preserve">When a primary time source becomes unavailable or unreliable during data collection, organizations SHALL switch to backup time sources if available or SHALL flag all subsequently collected data as having degraded temporal accuracy. The time and nature of the degradation SHALL be recorded, including the last known-good synchronization time and the estimated drift rate of the backup or free-running clock.</w:t>
      </w:r>
    </w:p>
    <w:p>
      <w:pPr>
        <w:spacing w:after="200"/>
      </w:pPr>
      <w:r>
        <w:t xml:space="preserve">Data collected with degraded time sources SHALL NOT be silently retained as if it had full temporal accuracy. Organizations SHALL either apply uncertainty bounds sufficient to encompass the worst-case timing error, or SHALL explicitly downgrade or invalidate the temporal component of the data.</w:t>
      </w:r>
    </w:p>
    <w:p>
      <w:pPr>
        <w:spacing w:after="200"/>
      </w:pPr>
      <w:r>
        <w:t xml:space="preserve">Ambiguous timestamps, including those resulting from timezone confusion, daylight saving time transitions, rollover events, or format parsing errors, SHALL be resolved through documented procedures or SHALL be flagged as ambiguous. Ambiguous timestamps SHALL NOT be silently assumed to have any particular interpretation. Resolution procedures SHALL be documented and SHALL preserve evidence of the original ambiguous value.</w:t>
      </w:r>
    </w:p>
    <w:p>
      <w:r>
        <w:br w:type="page"/>
      </w:r>
    </w:p>
    <w:p>
      <w:pPr>
        <w:pStyle w:val="Heading1"/>
        <w:spacing w:before="400" w:after="200"/>
      </w:pPr>
      <w:r>
        <w:rPr>
          <w:b/>
          <w:bCs/>
          <w:sz w:val="32"/>
          <w:szCs w:val="32"/>
        </w:rPr>
        <w:t xml:space="preserve">6. Geospatial Reference and Confidence</w:t>
      </w:r>
    </w:p>
    <w:p>
      <w:pPr>
        <w:pStyle w:val="Heading2"/>
        <w:spacing w:before="300" w:after="150"/>
      </w:pPr>
      <w:r>
        <w:rPr>
          <w:b/>
          <w:bCs/>
          <w:sz w:val="26"/>
          <w:szCs w:val="26"/>
        </w:rPr>
        <w:t xml:space="preserve">6.1 Coordinate Reference System Requirements</w:t>
      </w:r>
    </w:p>
    <w:p>
      <w:pPr>
        <w:spacing w:after="200"/>
      </w:pPr>
      <w:r>
        <w:t xml:space="preserve">All geospatial coordinates in data governed by this standard SHALL be expressed in a documented coordinate reference system (CRS) with explicit identification of the geodetic datum. The RECOMMENDED default for global interoperability is WGS 84 (EPSG:4326) for horizontal coordinates. Vertical coordinates SHALL explicitly identify the vertical datum, which may include Mean Sea Level, Lowest Astronomical Tide, chart datum, or ellipsoidal height, with reference to the specific realization used.</w:t>
      </w:r>
    </w:p>
    <w:p>
      <w:pPr>
        <w:spacing w:after="200"/>
      </w:pPr>
      <w:r>
        <w:t xml:space="preserve">Where coordinates are expressed in projected coordinate systems, the projection parameters SHALL be fully documented using EPSG codes or equivalent complete parameter specifications. Coordinate transformations between reference systems SHALL be documented as data transformations subject to Section 8 requirements.</w:t>
      </w:r>
    </w:p>
    <w:p>
      <w:pPr>
        <w:pStyle w:val="Heading2"/>
        <w:spacing w:before="300" w:after="150"/>
      </w:pPr>
      <w:r>
        <w:rPr>
          <w:b/>
          <w:bCs/>
          <w:sz w:val="26"/>
          <w:szCs w:val="26"/>
        </w:rPr>
        <w:t xml:space="preserve">6.2 Position Source Attribution</w:t>
      </w:r>
    </w:p>
    <w:p>
      <w:pPr>
        <w:spacing w:after="200"/>
      </w:pPr>
      <w:r>
        <w:t xml:space="preserve">All geospatial coordinates in data governed by this standard SHALL be attributed to their source. Position source attribution SHALL include the navigation system or method used (for example, GPS, USBL, LBL, INS, dead reckoning), the specific equipment make and model where relevant, the coordinate reference system and datum, and where positions are derived from multiple sources or methods, the fusion algorithm or selection process.</w:t>
      </w:r>
    </w:p>
    <w:p>
      <w:pPr>
        <w:spacing w:after="200"/>
      </w:pPr>
      <w:r>
        <w:t xml:space="preserve">Organizations SHALL NOT record coordinates without source attribution. Coordinates from unknown or undocumented sources SHALL be flagged as having unknown provenance and SHALL carry maximum uncertainty bounds consistent with the operational context.</w:t>
      </w:r>
    </w:p>
    <w:p>
      <w:pPr>
        <w:pStyle w:val="Heading2"/>
        <w:spacing w:before="300" w:after="150"/>
      </w:pPr>
      <w:r>
        <w:rPr>
          <w:b/>
          <w:bCs/>
          <w:sz w:val="26"/>
          <w:szCs w:val="26"/>
        </w:rPr>
        <w:t xml:space="preserve">6.3 Confidence Bounds</w:t>
      </w:r>
    </w:p>
    <w:p>
      <w:pPr>
        <w:spacing w:after="200"/>
      </w:pPr>
      <w:r>
        <w:t xml:space="preserve">Every position record in data governed by this standard SHALL include confidence bounds or uncertainty estimates. Confidence bounds SHALL reflect all known sources of position error, including navigation system accuracy, platform motion during measurement, sensor offset uncertainty, lever arm corrections, and any processing-induced errors.</w:t>
      </w:r>
    </w:p>
    <w:p>
      <w:pPr>
        <w:spacing w:after="200"/>
      </w:pPr>
      <w:r>
        <w:t xml:space="preserve">Confidence bounds SHALL be represented in a manner consistent with the coordinate representation. For horizontal coordinates, acceptable representations include Circular Error Probable (CEP) at stated confidence level (typically 50% or 95%), error ellipse semi-axes and orientation, or standard deviations in each coordinate direction. For vertical coordinates, representations include standard uncertainty or confidence intervals. Organizations SHALL document the confidence level associated with stated bounds. Where manufacturer specifications are used, organizations SHALL verify that operational conditions match specification conditions or SHALL apply appropriate derating factors.</w:t>
      </w:r>
    </w:p>
    <w:p>
      <w:pPr>
        <w:pStyle w:val="Heading2"/>
        <w:spacing w:before="300" w:after="150"/>
      </w:pPr>
      <w:r>
        <w:rPr>
          <w:b/>
          <w:bCs/>
          <w:sz w:val="26"/>
          <w:szCs w:val="26"/>
        </w:rPr>
        <w:t xml:space="preserve">6.4 Degraded Localization</w:t>
      </w:r>
    </w:p>
    <w:p>
      <w:pPr>
        <w:spacing w:after="200"/>
      </w:pPr>
      <w:r>
        <w:t xml:space="preserve">When navigation systems experience degraded accuracy or complete failure during data collection, organizations SHALL record the degradation and SHALL adjust position confidence bounds accordingly. Data collected during navigation outages SHALL carry uncertainty bounds sufficient to encompass all possible platform positions during the outage, based on dead reckoning, operational constraints, or other available information.</w:t>
      </w:r>
    </w:p>
    <w:p>
      <w:pPr>
        <w:spacing w:after="200"/>
      </w:pPr>
      <w:r>
        <w:t xml:space="preserve">Organizations SHALL NOT delete data solely because of navigation degradation. Degraded data SHALL be retained with appropriate uncertainty bounds and quality flags, allowing downstream users to determine fitness for their purposes. The onset of degradation, its nature, its duration, and the recovery of normal navigation SHALL all be recorded in data metadata and audit trails.</w:t>
      </w:r>
    </w:p>
    <w:p>
      <w:pPr>
        <w:pStyle w:val="Heading2"/>
        <w:spacing w:before="300" w:after="150"/>
      </w:pPr>
      <w:r>
        <w:rPr>
          <w:b/>
          <w:bCs/>
          <w:sz w:val="26"/>
          <w:szCs w:val="26"/>
        </w:rPr>
        <w:t xml:space="preserve">6.5 Uncertainty Propagation in Derived Products</w:t>
      </w:r>
    </w:p>
    <w:p>
      <w:pPr>
        <w:spacing w:after="200"/>
      </w:pPr>
      <w:r>
        <w:t xml:space="preserve">When derived products are created from data with position uncertainty, the derived product SHALL carry position uncertainty that reflects both the input uncertainties and any additional uncertainty introduced by the derivation process. Uncertainty propagation methods SHALL be documented, including the mathematical model used and any assumptions about error correlation.</w:t>
      </w:r>
    </w:p>
    <w:p>
      <w:pPr>
        <w:spacing w:after="200"/>
      </w:pPr>
      <w:r>
        <w:t xml:space="preserve">Derived products SHALL NOT represent positions with greater precision or lower uncertainty than supported by the source data. Where multiple source data points with different uncertainties contribute to a derived position, the contribution of each source to the final uncertainty SHALL be traceable. Averaging or other statistical operations do not eliminate position uncertainty; they transform it, and the transformation SHALL be documented.</w:t>
      </w:r>
    </w:p>
    <w:p>
      <w:pPr>
        <w:pStyle w:val="Heading2"/>
        <w:spacing w:before="300" w:after="150"/>
      </w:pPr>
      <w:r>
        <w:rPr>
          <w:b/>
          <w:bCs/>
          <w:sz w:val="26"/>
          <w:szCs w:val="26"/>
        </w:rPr>
        <w:t xml:space="preserve">6.6 Prohibition on Silent Accuracy Assumptions</w:t>
      </w:r>
    </w:p>
    <w:p>
      <w:pPr>
        <w:spacing w:after="200"/>
      </w:pPr>
      <w:r>
        <w:t xml:space="preserve">Organizations SHALL NOT assume positional accuracy in the absence of explicit accuracy information. Data received from other sources without position uncertainty information SHALL be flagged as having unknown position accuracy. Organizations SHALL either obtain accuracy information from the data source, estimate uncertainty based on documented assumptions about the likely navigation equipment and conditions, or decline to use the data for purposes requiring position accuracy.</w:t>
      </w:r>
    </w:p>
    <w:p>
      <w:pPr>
        <w:spacing w:after="200"/>
      </w:pPr>
      <w:r>
        <w:t xml:space="preserve">No system, process, or workflow governed by this standard SHALL silently discard position uncertainty information. When uncertainty information cannot be propagated through a process, the output SHALL be flagged as having undefined position accuracy.</w:t>
      </w:r>
    </w:p>
    <w:p>
      <w:r>
        <w:br w:type="page"/>
      </w:r>
    </w:p>
    <w:p>
      <w:pPr>
        <w:pStyle w:val="Heading1"/>
        <w:spacing w:before="400" w:after="200"/>
      </w:pPr>
      <w:r>
        <w:rPr>
          <w:b/>
          <w:bCs/>
          <w:sz w:val="32"/>
          <w:szCs w:val="32"/>
        </w:rPr>
        <w:t xml:space="preserve">7. Raw Data Preservation and Cryptographic Integrity</w:t>
      </w:r>
    </w:p>
    <w:p>
      <w:pPr>
        <w:pStyle w:val="Heading2"/>
        <w:spacing w:before="300" w:after="150"/>
      </w:pPr>
      <w:r>
        <w:rPr>
          <w:b/>
          <w:bCs/>
          <w:sz w:val="26"/>
          <w:szCs w:val="26"/>
        </w:rPr>
        <w:t xml:space="preserve">7.1 Definition of Raw Data</w:t>
      </w:r>
    </w:p>
    <w:p>
      <w:pPr>
        <w:spacing w:after="200"/>
      </w:pPr>
      <w:r>
        <w:t xml:space="preserve">For purposes of this standard, data is classified as raw if it represents the direct, unmodified output of a sensor, instrument, or collection system. Raw data includes all characteristics of the original measurement, including noise, artifacts, and any errors present at the moment of capture. The application of timestamps, position tags, and other metadata at the time of collection does not alter the raw classification, provided the underlying measurement values are not modified.</w:t>
      </w:r>
    </w:p>
    <w:p>
      <w:pPr>
        <w:spacing w:after="200"/>
      </w:pPr>
      <w:r>
        <w:t xml:space="preserve">Data ceases to be raw when any computational process modifies the measurement values, pixel values, sample values, or other primary data content. The application of calibration corrections, noise filtering, resampling, format conversion with data transformation, or any other value-altering process creates derived data. Lossless format conversion that preserves bit-exact data values does not alter raw classification if fully reversible and documented.</w:t>
      </w:r>
    </w:p>
    <w:p>
      <w:pPr>
        <w:pStyle w:val="Heading2"/>
        <w:spacing w:before="300" w:after="150"/>
      </w:pPr>
      <w:r>
        <w:rPr>
          <w:b/>
          <w:bCs/>
          <w:sz w:val="26"/>
          <w:szCs w:val="26"/>
        </w:rPr>
        <w:t xml:space="preserve">7.2 Mandatory Preservation of Raw Data</w:t>
      </w:r>
    </w:p>
    <w:p>
      <w:pPr>
        <w:spacing w:after="200"/>
      </w:pPr>
      <w:r>
        <w:t xml:space="preserve">Organizations SHALL preserve raw data for all measurements collected under this standard. Raw data SHALL be retained in its original format, or in a documented archival format that permits bit-perfect reconstruction of the original data. The retention period for raw data SHALL be at least as long as the retention period for any derived product created from that raw data.</w:t>
      </w:r>
    </w:p>
    <w:p>
      <w:pPr>
        <w:spacing w:after="200"/>
      </w:pPr>
      <w:r>
        <w:t xml:space="preserve">Raw data SHALL NOT be deleted, overwritten, or allowed to become inaccessible while any derived product created from that raw data remains in use or in custody. The ability to trace any derived data element back to its raw inputs is a fundamental requirement of this standard.</w:t>
      </w:r>
    </w:p>
    <w:p>
      <w:pPr>
        <w:pStyle w:val="Heading2"/>
        <w:spacing w:before="300" w:after="150"/>
      </w:pPr>
      <w:r>
        <w:rPr>
          <w:b/>
          <w:bCs/>
          <w:sz w:val="26"/>
          <w:szCs w:val="26"/>
        </w:rPr>
        <w:t xml:space="preserve">7.3 Cryptographic Integrity Verification</w:t>
      </w:r>
    </w:p>
    <w:p>
      <w:pPr>
        <w:spacing w:after="200"/>
      </w:pPr>
      <w:r>
        <w:t xml:space="preserve">Organizations SHALL compute and record cryptographic hash values for all raw data at the time of initial capture. The hash algorithm SHALL be SHA-256 or stronger (SHA-384, SHA-512, or SHA-3 family). MD5 and SHA-1 SHALL NOT be used for integrity verification due to known collision vulnerabilities.</w:t>
      </w:r>
    </w:p>
    <w:p>
      <w:pPr>
        <w:spacing w:after="200"/>
      </w:pPr>
      <w:r>
        <w:t xml:space="preserve">Hash values SHALL be computed over the complete raw data file or data stream as captured, including any embedded metadata. Where data is captured in multiple files, hash values SHALL be computed for each file individually and for the collection as a whole. Hash values SHALL be recorded in tamper-evident storage separate from the data they verify, with linkage maintained through documented identifiers.</w:t>
      </w:r>
    </w:p>
    <w:p>
      <w:pPr>
        <w:spacing w:after="200"/>
      </w:pPr>
      <w:r>
        <w:t xml:space="preserve">Organizations SHALL verify data integrity against recorded hash values at the following minimum intervals: upon completion of each data transfer, upon retrieval from archival storage, at least annually for data in active storage, and upon any access for legal or regulatory proceedings. Verification failures constitute integrity breaches and SHALL trigger the response procedures specified in Section 11.</w:t>
      </w:r>
    </w:p>
    <w:p>
      <w:pPr>
        <w:pStyle w:val="Heading2"/>
        <w:spacing w:before="300" w:after="150"/>
      </w:pPr>
      <w:r>
        <w:rPr>
          <w:b/>
          <w:bCs/>
          <w:sz w:val="26"/>
          <w:szCs w:val="26"/>
        </w:rPr>
        <w:t xml:space="preserve">7.4 Hash Chain Documentation</w:t>
      </w:r>
    </w:p>
    <w:p>
      <w:pPr>
        <w:spacing w:after="200"/>
      </w:pPr>
      <w:r>
        <w:t xml:space="preserve">Organizations SHOULD implement hash chain or blockchain-style linkage of integrity records to create tamper-evident chains of custody. In a hash chain implementation, each integrity record includes the hash of the previous record, creating a structure where any modification to historical records is detectable.</w:t>
      </w:r>
    </w:p>
    <w:p>
      <w:pPr>
        <w:spacing w:after="200"/>
      </w:pPr>
      <w:r>
        <w:t xml:space="preserve">Where hash chains are implemented, the chain anchor (the first record or a periodic checkpoint) SHALL be preserved in multiple independent locations. Chain verification SHALL be performed periodically and results SHALL be documented. Chain breaks or inconsistencies SHALL be investigated as potential integrity breaches.</w:t>
      </w:r>
    </w:p>
    <w:p>
      <w:pPr>
        <w:pStyle w:val="Heading2"/>
        <w:spacing w:before="300" w:after="150"/>
      </w:pPr>
      <w:r>
        <w:rPr>
          <w:b/>
          <w:bCs/>
          <w:sz w:val="26"/>
          <w:szCs w:val="26"/>
        </w:rPr>
        <w:t xml:space="preserve">7.5 Conditions for Derived Data Generation</w:t>
      </w:r>
    </w:p>
    <w:p>
      <w:pPr>
        <w:spacing w:after="200"/>
      </w:pPr>
      <w:r>
        <w:t xml:space="preserve">Derived data MAY be generated from raw data or from other derived data for any legitimate purpose, subject to the documentation requirements of Section 8. Organizations SHALL document the purpose and methodology of each type of derivation performed on data governed by this standard.</w:t>
      </w:r>
    </w:p>
    <w:p>
      <w:pPr>
        <w:spacing w:after="200"/>
      </w:pPr>
      <w:r>
        <w:t xml:space="preserve">The generation of derived data SHALL NOT modify or destroy the source data from which it is derived. Source data SHALL remain available and unaltered following derivation. Where a derivation process cannot operate without modifying source data, the source data SHALL be copied prior to processing, and the unmodified copy SHALL be retained as the authoritative source with verified hash integrity.</w:t>
      </w:r>
    </w:p>
    <w:p>
      <w:pPr>
        <w:pStyle w:val="Heading2"/>
        <w:spacing w:before="300" w:after="150"/>
      </w:pPr>
      <w:r>
        <w:rPr>
          <w:b/>
          <w:bCs/>
          <w:sz w:val="26"/>
          <w:szCs w:val="26"/>
        </w:rPr>
        <w:t xml:space="preserve">7.6 Traceability Requirements</w:t>
      </w:r>
    </w:p>
    <w:p>
      <w:pPr>
        <w:spacing w:after="200"/>
      </w:pPr>
      <w:r>
        <w:t xml:space="preserve">Every derived data element SHALL be traceable to the raw data inputs from which it was ultimately derived. This traceability SHALL be maintained through documented provenance chains that record each transformation in the derivation history, including cryptographic hashes of inputs and outputs at each stage.</w:t>
      </w:r>
    </w:p>
    <w:p>
      <w:pPr>
        <w:spacing w:after="200"/>
      </w:pPr>
      <w:r>
        <w:t xml:space="preserve">Traceability documentation SHALL be sufficient to permit an independent party to reproduce the derived data from the raw inputs, given access to the documented transformation procedures and equivalent computational resources. Where transformation procedures involve proprietary algorithms, the documentation SHALL at minimum describe the nature of the transformation, its parameters, its version, and its expected effects on the data.</w:t>
      </w:r>
    </w:p>
    <w:p>
      <w:pPr>
        <w:pStyle w:val="Heading2"/>
        <w:spacing w:before="300" w:after="150"/>
      </w:pPr>
      <w:r>
        <w:rPr>
          <w:b/>
          <w:bCs/>
          <w:sz w:val="26"/>
          <w:szCs w:val="26"/>
        </w:rPr>
        <w:t xml:space="preserve">7.7 Prohibition on Destructive Overwriting</w:t>
      </w:r>
    </w:p>
    <w:p>
      <w:pPr>
        <w:spacing w:after="200"/>
      </w:pPr>
      <w:r>
        <w:t xml:space="preserve">Organizations SHALL NOT overwrite raw data with derived data. Organizations SHALL NOT overwrite any data version with a later version in a manner that makes the earlier version irrecoverable. All data versions that have been used for any purpose, shared with any party, or referenced in any record SHALL be retained with their original cryptographic hashes.</w:t>
      </w:r>
    </w:p>
    <w:p>
      <w:pPr>
        <w:spacing w:after="200"/>
      </w:pPr>
      <w:r>
        <w:t xml:space="preserve">This prohibition extends to implicit destruction through storage system operations, format migrations, or system upgrades. Organizations SHALL verify hash integrity before and after any operation that might affect data accessibility or recoverability.</w:t>
      </w:r>
    </w:p>
    <w:p>
      <w:r>
        <w:br w:type="page"/>
      </w:r>
    </w:p>
    <w:p>
      <w:pPr>
        <w:pStyle w:val="Heading1"/>
        <w:spacing w:before="400" w:after="200"/>
      </w:pPr>
      <w:r>
        <w:rPr>
          <w:b/>
          <w:bCs/>
          <w:sz w:val="32"/>
          <w:szCs w:val="32"/>
        </w:rPr>
        <w:t xml:space="preserve">8. Data Mutation, Transformation, and Annotation Rules</w:t>
      </w:r>
    </w:p>
    <w:p>
      <w:pPr>
        <w:pStyle w:val="Heading2"/>
        <w:spacing w:before="300" w:after="150"/>
      </w:pPr>
      <w:r>
        <w:rPr>
          <w:b/>
          <w:bCs/>
          <w:sz w:val="26"/>
          <w:szCs w:val="26"/>
        </w:rPr>
        <w:t xml:space="preserve">8.1 Permitted Transformations</w:t>
      </w:r>
    </w:p>
    <w:p>
      <w:pPr>
        <w:spacing w:after="200"/>
      </w:pPr>
      <w:r>
        <w:t xml:space="preserve">Transformations on data governed by this standard are permitted when they serve a documented purpose and when they are performed in accordance with the requirements of this section. Permitted transformations include but are not limited to calibration application, coordinate transformation, format conversion, resampling, filtering, mosaicking, classification, and statistical analysis.</w:t>
      </w:r>
    </w:p>
    <w:p>
      <w:pPr>
        <w:spacing w:after="200"/>
      </w:pPr>
      <w:r>
        <w:t xml:space="preserve">Organizations SHALL maintain a registry of approved transformation types and SHALL ensure that only approved transformations are applied to data in their custody. New transformation types SHALL be approved through a documented process that evaluates their impact on data integrity and their compliance with this standard. The registry SHALL include, for each transformation type, a description of its purpose, its parameters, its effects on data, and any limitations on its applicability.</w:t>
      </w:r>
    </w:p>
    <w:p>
      <w:pPr>
        <w:pStyle w:val="Heading2"/>
        <w:spacing w:before="300" w:after="150"/>
      </w:pPr>
      <w:r>
        <w:rPr>
          <w:b/>
          <w:bCs/>
          <w:sz w:val="26"/>
          <w:szCs w:val="26"/>
        </w:rPr>
        <w:t xml:space="preserve">8.2 Transformation Documentation Requirements</w:t>
      </w:r>
    </w:p>
    <w:p>
      <w:pPr>
        <w:spacing w:after="200"/>
      </w:pPr>
      <w:r>
        <w:t xml:space="preserve">Every transformation applied to data governed by this standard SHALL be documented. The documentation SHALL include the identity of the transformation and its version, all parameters used including default values, cryptographic hashes of source data versions to which it was applied, cryptographic hashes of resulting derived data, the date and time of application in UTC, the identity of the system that performed the transformation, and the identity of the person or authority that authorized the transformation.</w:t>
      </w:r>
    </w:p>
    <w:p>
      <w:pPr>
        <w:spacing w:after="200"/>
      </w:pPr>
      <w:r>
        <w:t xml:space="preserve">Transformation documentation SHALL be linked to both the source data and the resulting derived data through unique identifiers and hash values. An independent party reviewing the derived data SHALL be able to determine what transformations were applied and with what parameters, without needing access to any system or person involved in the original processing.</w:t>
      </w:r>
    </w:p>
    <w:p>
      <w:pPr>
        <w:pStyle w:val="Heading2"/>
        <w:spacing w:before="300" w:after="150"/>
      </w:pPr>
      <w:r>
        <w:rPr>
          <w:b/>
          <w:bCs/>
          <w:sz w:val="26"/>
          <w:szCs w:val="26"/>
        </w:rPr>
        <w:t xml:space="preserve">8.3 Human vs Autonomous Annotation</w:t>
      </w:r>
    </w:p>
    <w:p>
      <w:pPr>
        <w:spacing w:after="200"/>
      </w:pPr>
      <w:r>
        <w:t xml:space="preserve">Annotations added to data by human reviewers and annotations added by automated systems SHALL be distinguished in the data record. The distinction SHALL be maintained throughout all downstream uses of the annotated data.</w:t>
      </w:r>
    </w:p>
    <w:p>
      <w:pPr>
        <w:spacing w:after="200"/>
      </w:pPr>
      <w:r>
        <w:t xml:space="preserve">Human annotations SHALL record the identity of the annotator, their qualifications if relevant to the annotation type, and the date and time of annotation. Automated annotations SHALL record the identity and version of the annotating system, the model or algorithm used including version and training date where applicable, any confidence scores or quality indicators produced by the system, and the date and time of annotation.</w:t>
      </w:r>
    </w:p>
    <w:p>
      <w:pPr>
        <w:spacing w:after="200"/>
      </w:pPr>
      <w:r>
        <w:t xml:space="preserve">Where automated annotations are reviewed or modified by humans, both the original automated annotation and the human review SHALL be recorded. The final annotation SHALL indicate whether it represents unreviewed automation, human-confirmed automation, human-modified automation, or purely human judgment. This provenance is essential for assessing the reliability and potential bias of annotations.</w:t>
      </w:r>
    </w:p>
    <w:p>
      <w:pPr>
        <w:pStyle w:val="Heading2"/>
        <w:spacing w:before="300" w:after="150"/>
      </w:pPr>
      <w:r>
        <w:rPr>
          <w:b/>
          <w:bCs/>
          <w:sz w:val="26"/>
          <w:szCs w:val="26"/>
        </w:rPr>
        <w:t xml:space="preserve">8.4 Versioning Requirements</w:t>
      </w:r>
    </w:p>
    <w:p>
      <w:pPr>
        <w:spacing w:after="200"/>
      </w:pPr>
      <w:r>
        <w:t xml:space="preserve">Organizations SHALL implement versioning for all data and derived products governed by this standard. Each version SHALL have a unique identifier that includes sufficient information to distinguish it from any other version, including versions created by other organizations. Acceptable version identifier schemes include UUIDs, hash-based identifiers, and structured identifiers combining organization, dataset, and sequence number.</w:t>
      </w:r>
    </w:p>
    <w:p>
      <w:pPr>
        <w:spacing w:after="200"/>
      </w:pPr>
      <w:r>
        <w:t xml:space="preserve">The relationship between versions SHALL be documented in provenance records, indicating which versions are derived from which predecessors. Previous versions SHALL be retained in accordance with retention requirements. Version deletion SHALL only occur through documented decommissioning procedures and SHALL not occur while any system, process, or downstream user may depend on the deleted version.</w:t>
      </w:r>
    </w:p>
    <w:p>
      <w:pPr>
        <w:pStyle w:val="Heading2"/>
        <w:spacing w:before="300" w:after="150"/>
      </w:pPr>
      <w:r>
        <w:rPr>
          <w:b/>
          <w:bCs/>
          <w:sz w:val="26"/>
          <w:szCs w:val="26"/>
        </w:rPr>
        <w:t xml:space="preserve">8.5 Auditability and Attribution</w:t>
      </w:r>
    </w:p>
    <w:p>
      <w:pPr>
        <w:spacing w:after="200"/>
      </w:pPr>
      <w:r>
        <w:t xml:space="preserve">Every mutation to data governed by this standard SHALL be auditable. Auditability means that an independent reviewer can determine what changes were made, when they were made, by whom or by what system, for what purpose, and with what authorization. This capability SHALL be maintained throughout the retention period for the data.</w:t>
      </w:r>
    </w:p>
    <w:p>
      <w:pPr>
        <w:spacing w:after="200"/>
      </w:pPr>
      <w:r>
        <w:t xml:space="preserve">Attribution for mutations SHALL be unambiguous. Where a mutation is performed by an automated system, the attribution SHALL identify the system, its version, and the human or organizational authority that authorized its operation. Where a mutation is performed by a human, the attribution SHALL identify the individual, or where individual attribution is not feasible, the organizational unit responsible and the reason individual attribution is not recorded.</w:t>
      </w:r>
    </w:p>
    <w:p>
      <w:r>
        <w:br w:type="page"/>
      </w:r>
    </w:p>
    <w:p>
      <w:pPr>
        <w:pStyle w:val="Heading1"/>
        <w:spacing w:before="400" w:after="200"/>
      </w:pPr>
      <w:r>
        <w:rPr>
          <w:b/>
          <w:bCs/>
          <w:sz w:val="32"/>
          <w:szCs w:val="32"/>
        </w:rPr>
        <w:t xml:space="preserve">9. Autonomous Collection and System-Generated Data</w:t>
      </w:r>
    </w:p>
    <w:p>
      <w:pPr>
        <w:pStyle w:val="Heading2"/>
        <w:spacing w:before="300" w:after="150"/>
      </w:pPr>
      <w:r>
        <w:rPr>
          <w:b/>
          <w:bCs/>
          <w:sz w:val="26"/>
          <w:szCs w:val="26"/>
        </w:rPr>
        <w:t xml:space="preserve">9.1 Scope of Autonomous Collection Requirements</w:t>
      </w:r>
    </w:p>
    <w:p>
      <w:pPr>
        <w:spacing w:after="200"/>
      </w:pPr>
      <w:r>
        <w:t xml:space="preserve">The requirements of this section apply to all data collected by autonomous systems, including autonomous underwater vehicles, autonomous surface vehicles, profiling floats, gliders, fixed platforms with autonomous sampling capabilities, and any other system that collects data without real-time human control. These requirements also apply to data collected during autonomous operation periods of systems that are sometimes human-operated or remotely operated, including loss-of-communication contingency operations.</w:t>
      </w:r>
    </w:p>
    <w:p>
      <w:pPr>
        <w:spacing w:after="200"/>
      </w:pPr>
      <w:r>
        <w:t xml:space="preserve">The purpose of these additional requirements is to ensure that the absence of real-time human oversight does not create ambiguity about how data was collected, what decisions affected data collection, or who bears responsibility for data integrity. Autonomous operation does not diminish accountability; it transfers certain decision-making to algorithms and systems that must be fully documented.</w:t>
      </w:r>
    </w:p>
    <w:p>
      <w:pPr>
        <w:pStyle w:val="Heading2"/>
        <w:spacing w:before="300" w:after="150"/>
      </w:pPr>
      <w:r>
        <w:rPr>
          <w:b/>
          <w:bCs/>
          <w:sz w:val="26"/>
          <w:szCs w:val="26"/>
        </w:rPr>
        <w:t xml:space="preserve">9.2 Metadata for Autonomous Decisions</w:t>
      </w:r>
    </w:p>
    <w:p>
      <w:pPr>
        <w:spacing w:after="200"/>
      </w:pPr>
      <w:r>
        <w:t xml:space="preserve">Autonomous systems collecting data governed by this standard SHALL record metadata documenting all autonomous decisions that affect data collection. This includes but is not limited to decisions about sampling rates and timing, sensor activation, deactivation, or parameter changes, mission plan modifications including waypoint changes and depth adjustments, obstacle avoidance maneuvers and navigation decisions, fault detection and response actions, power management decisions affecting data collection, and data prioritization or deletion decisions if storage is limited.</w:t>
      </w:r>
    </w:p>
    <w:p>
      <w:pPr>
        <w:spacing w:after="200"/>
      </w:pPr>
      <w:r>
        <w:t xml:space="preserve">The metadata SHALL include the decision made, the inputs or conditions that triggered the decision, the algorithm or logic that made the decision including version information, and the timestamp of the decision in UTC. Where decisions involve thresholds or parameters, the metadata SHALL record the values in effect at the time of the decision.</w:t>
      </w:r>
    </w:p>
    <w:p>
      <w:pPr>
        <w:pStyle w:val="Heading2"/>
        <w:spacing w:before="300" w:after="150"/>
      </w:pPr>
      <w:r>
        <w:rPr>
          <w:b/>
          <w:bCs/>
          <w:sz w:val="26"/>
          <w:szCs w:val="26"/>
        </w:rPr>
        <w:t xml:space="preserve">9.3 Accountability for Autonomous Operations</w:t>
      </w:r>
    </w:p>
    <w:p>
      <w:pPr>
        <w:spacing w:after="200"/>
      </w:pPr>
      <w:r>
        <w:t xml:space="preserve">Organizations deploying autonomous systems for data collection SHALL designate responsible parties for each autonomous operation. The designated party is accountable for the configuration of the autonomous system including all parameters and algorithms, the mission plan provided to it, the validation of autonomous decision-making logic, and the handling of data collected during autonomous operation.</w:t>
      </w:r>
    </w:p>
    <w:p>
      <w:pPr>
        <w:spacing w:after="200"/>
      </w:pPr>
      <w:r>
        <w:t xml:space="preserve">Designation of autonomous system responsibility SHALL be documented prior to deployment. The documentation SHALL identify the responsible individual or organizational unit by name and role, the scope of their responsibility, the conditions under which responsibility transfers such as handoff between operational shifts, and the authority under which they act.</w:t>
      </w:r>
    </w:p>
    <w:p>
      <w:pPr>
        <w:pStyle w:val="Heading2"/>
        <w:spacing w:before="300" w:after="150"/>
      </w:pPr>
      <w:r>
        <w:rPr>
          <w:b/>
          <w:bCs/>
          <w:sz w:val="26"/>
          <w:szCs w:val="26"/>
        </w:rPr>
        <w:t xml:space="preserve">9.4 Partial or Degraded Autonomy</w:t>
      </w:r>
    </w:p>
    <w:p>
      <w:pPr>
        <w:spacing w:after="200"/>
      </w:pPr>
      <w:r>
        <w:t xml:space="preserve">Organizations SHALL document the behavior of autonomous systems under degraded conditions, including sensor failures, navigation degradation, communication loss, and power constraints. The documentation SHALL specify what autonomous behaviors are modified under each degradation scenario and how data collection is affected.</w:t>
      </w:r>
    </w:p>
    <w:p>
      <w:pPr>
        <w:spacing w:after="200"/>
      </w:pPr>
      <w:r>
        <w:t xml:space="preserve">Data collected during periods of degraded autonomy SHALL be flagged to indicate the degradation. The flag SHALL distinguish between data that is believed to be unaffected by the degradation and data that may have been affected. Users of the data SHALL be able to filter or evaluate data based on the autonomy state at the time of collection.</w:t>
      </w:r>
    </w:p>
    <w:p>
      <w:pPr>
        <w:pStyle w:val="Heading2"/>
        <w:spacing w:before="300" w:after="150"/>
      </w:pPr>
      <w:r>
        <w:rPr>
          <w:b/>
          <w:bCs/>
          <w:sz w:val="26"/>
          <w:szCs w:val="26"/>
        </w:rPr>
        <w:t xml:space="preserve">9.5 Prevention of Attribution Ambiguity</w:t>
      </w:r>
    </w:p>
    <w:p>
      <w:pPr>
        <w:spacing w:after="200"/>
      </w:pPr>
      <w:r>
        <w:t xml:space="preserve">Organizations SHALL implement procedures and systems that prevent ambiguity about whether data quality issues, anomalies, or gaps resulted from autonomous system behavior or from other causes. The phrase "the system did it" is not an acceptable attribution for any data quality issue; the specific autonomous behavior, its triggering condition, and its relationship to the data quality issue SHALL be documented.</w:t>
      </w:r>
    </w:p>
    <w:p>
      <w:pPr>
        <w:spacing w:after="200"/>
      </w:pPr>
      <w:r>
        <w:t xml:space="preserve">Where attribution cannot be determined with certainty, the uncertainty SHALL be documented and appropriate quality flags SHALL be applied to potentially affected data. The documentation SHALL describe what investigation was performed and why definitive attribution was not achievable.</w:t>
      </w:r>
    </w:p>
    <w:p>
      <w:r>
        <w:br w:type="page"/>
      </w:r>
    </w:p>
    <w:p>
      <w:pPr>
        <w:pStyle w:val="Heading1"/>
        <w:spacing w:before="400" w:after="200"/>
      </w:pPr>
      <w:r>
        <w:rPr>
          <w:b/>
          <w:bCs/>
          <w:sz w:val="32"/>
          <w:szCs w:val="32"/>
        </w:rPr>
        <w:t xml:space="preserve">10. Audit Trails and Chain-of-Custody Records</w:t>
      </w:r>
    </w:p>
    <w:p>
      <w:pPr>
        <w:pStyle w:val="Heading2"/>
        <w:spacing w:before="300" w:after="150"/>
      </w:pPr>
      <w:r>
        <w:rPr>
          <w:b/>
          <w:bCs/>
          <w:sz w:val="26"/>
          <w:szCs w:val="26"/>
        </w:rPr>
        <w:t xml:space="preserve">10.1 Audit Trail Technical Requirements</w:t>
      </w:r>
    </w:p>
    <w:p>
      <w:pPr>
        <w:spacing w:after="200"/>
      </w:pPr>
      <w:r>
        <w:t xml:space="preserve">Organizations SHALL maintain audit logs recording all events relevant to data integrity and custody. Audit logs SHALL be maintained in tamper-evident form using one or more of the following mechanisms: write-once storage media, cryptographic hash chaining of log entries, digital signatures on log entries or blocks, independent secure logging systems that cannot be modified by data custodians, or third-party timestamping services providing independent verification of log timing.</w:t>
      </w:r>
    </w:p>
    <w:p>
      <w:pPr>
        <w:spacing w:after="200"/>
      </w:pPr>
      <w:r>
        <w:t xml:space="preserve">Audit log integrity SHALL be verified at least monthly through hash verification or signature validation. The verification process and results SHALL themselves be logged. Any indication of log tampering SHALL be treated as a potential integrity breach affecting all data covered by the compromised log period.</w:t>
      </w:r>
    </w:p>
    <w:p>
      <w:pPr>
        <w:pStyle w:val="Heading2"/>
        <w:spacing w:before="300" w:after="150"/>
      </w:pPr>
      <w:r>
        <w:rPr>
          <w:b/>
          <w:bCs/>
          <w:sz w:val="26"/>
          <w:szCs w:val="26"/>
        </w:rPr>
        <w:t xml:space="preserve">10.2 Event Logging Requirements</w:t>
      </w:r>
    </w:p>
    <w:p>
      <w:pPr>
        <w:spacing w:after="200"/>
      </w:pPr>
      <w:r>
        <w:t xml:space="preserve">Auditable events include but are not limited to data creation and initial capture, all data access including read-only access, all data modifications and transformations, data transfers and custody changes, system configuration changes affecting data handling, user authorization and authentication events, security events including access denials and anomalies, integrity verification events and results, and administrative actions affecting data or audit systems.</w:t>
      </w:r>
    </w:p>
    <w:p>
      <w:pPr>
        <w:spacing w:after="200"/>
      </w:pPr>
      <w:r>
        <w:t xml:space="preserve">Each audit log entry SHALL include a timestamp in UTC with documented accuracy, an event type identifier from a controlled vocabulary, the identity of the actor initiating the event, the data elements affected identified by unique identifiers and hashes, the outcome of the event, and sufficient detail to understand what occurred without reference to external documentation. Where events are initiated by automated systems, the actor identity SHALL include both the system identity and the identity of the authority under which the system operates.</w:t>
      </w:r>
    </w:p>
    <w:p>
      <w:pPr>
        <w:pStyle w:val="Heading2"/>
        <w:spacing w:before="300" w:after="150"/>
      </w:pPr>
      <w:r>
        <w:rPr>
          <w:b/>
          <w:bCs/>
          <w:sz w:val="26"/>
          <w:szCs w:val="26"/>
        </w:rPr>
        <w:t xml:space="preserve">10.3 Access Logging</w:t>
      </w:r>
    </w:p>
    <w:p>
      <w:pPr>
        <w:spacing w:after="200"/>
      </w:pPr>
      <w:r>
        <w:t xml:space="preserve">Organizations SHALL log all access to data governed by this standard, including both successful and unsuccessful access attempts. Each access log entry SHALL include the timestamp, the identity of the accessor verified through authentication, the data elements accessed or attempted, the type of access requested (read, write, delete, export), the source of the access request (system, network location), and the outcome including any error conditions.</w:t>
      </w:r>
    </w:p>
    <w:p>
      <w:pPr>
        <w:spacing w:after="200"/>
      </w:pPr>
      <w:r>
        <w:t xml:space="preserve">Access logs SHALL be protected from modification by the parties whose access they record. This protection SHALL be implemented through separation of duties, where data custodians do not have administrative access to audit systems, or through cryptographic mechanisms that make undetected modification infeasible. Access logs SHALL be retained for at least as long as the data to which they pertain.</w:t>
      </w:r>
    </w:p>
    <w:p>
      <w:pPr>
        <w:pStyle w:val="Heading2"/>
        <w:spacing w:before="300" w:after="150"/>
      </w:pPr>
      <w:r>
        <w:rPr>
          <w:b/>
          <w:bCs/>
          <w:sz w:val="26"/>
          <w:szCs w:val="26"/>
        </w:rPr>
        <w:t xml:space="preserve">10.4 Transfer Records</w:t>
      </w:r>
    </w:p>
    <w:p>
      <w:pPr>
        <w:spacing w:after="200"/>
      </w:pPr>
      <w:r>
        <w:t xml:space="preserve">Organizations SHALL maintain records of all data transfers, including transfers within the organization between systems or storage locations, transfers to external parties, and receipt of data from external sources. Transfer records SHALL include the date and time of transfer initiation and completion in UTC, the origin system and destination system with unique identifiers, the identity of authorizing parties for both sending and receiving, a complete manifest of transferred data including file names, sizes, and cryptographic hashes, integrity verification results showing hash comparison between source and received data, the transfer method and protocol used, and any conditions or restrictions on the transfer.</w:t>
      </w:r>
    </w:p>
    <w:p>
      <w:pPr>
        <w:spacing w:after="200"/>
      </w:pPr>
      <w:r>
        <w:t xml:space="preserve">Transfer records SHALL be sufficient to reconstruct the complete movement history of any data element from its creation to its current location. Gaps in transfer records constitute a potential break in chain of custody and SHALL be investigated and documented.</w:t>
      </w:r>
    </w:p>
    <w:p>
      <w:pPr>
        <w:pStyle w:val="Heading2"/>
        <w:spacing w:before="300" w:after="150"/>
      </w:pPr>
      <w:r>
        <w:rPr>
          <w:b/>
          <w:bCs/>
          <w:sz w:val="26"/>
          <w:szCs w:val="26"/>
        </w:rPr>
        <w:t xml:space="preserve">10.5 Retention and Preservation of Audit Records</w:t>
      </w:r>
    </w:p>
    <w:p>
      <w:pPr>
        <w:spacing w:after="200"/>
      </w:pPr>
      <w:r>
        <w:t xml:space="preserve">Audit trails SHALL be retained for at least as long as the data they document, plus any additional period required by applicable regulations, contracts, or organizational policies. Where data is retained indefinitely, audit trails SHALL also be retained indefinitely.</w:t>
      </w:r>
    </w:p>
    <w:p>
      <w:pPr>
        <w:spacing w:after="200"/>
      </w:pPr>
      <w:r>
        <w:t xml:space="preserve">Audit trail retention SHALL survive the decommissioning of systems that generated the original audit entries. Organizations SHALL implement procedures to migrate audit trails when systems are replaced or decommissioned, ensuring no loss of audit history. The migration process itself SHALL be audited and documented.</w:t>
      </w:r>
    </w:p>
    <w:p>
      <w:pPr>
        <w:pStyle w:val="Heading2"/>
        <w:spacing w:before="300" w:after="150"/>
      </w:pPr>
      <w:r>
        <w:rPr>
          <w:b/>
          <w:bCs/>
          <w:sz w:val="26"/>
          <w:szCs w:val="26"/>
        </w:rPr>
        <w:t xml:space="preserve">10.6 Independent Reconstruction Capability</w:t>
      </w:r>
    </w:p>
    <w:p>
      <w:pPr>
        <w:spacing w:after="200"/>
      </w:pPr>
      <w:r>
        <w:t xml:space="preserve">Audit trails SHALL support independent reconstruction of data history by parties other than those who created the original records. This requires that audit trails be interpretable without access to systems or personnel involved in the original events. Log formats SHALL be documented. Controlled vocabularies and identifiers SHALL be defined. References to external systems or records SHALL be resolvable.</w:t>
      </w:r>
    </w:p>
    <w:p>
      <w:pPr>
        <w:spacing w:after="200"/>
      </w:pPr>
      <w:r>
        <w:t xml:space="preserve">Organizations SHOULD periodically test their audit trail reconstruction capability by having personnel unfamiliar with specific data histories attempt to reconstruct those histories from audit records alone. Any reconstruction failures or ambiguities SHALL be addressed by improving audit trail practices. Test results SHALL be documented.</w:t>
      </w:r>
    </w:p>
    <w:p>
      <w:r>
        <w:br w:type="page"/>
      </w:r>
    </w:p>
    <w:p>
      <w:pPr>
        <w:pStyle w:val="Heading1"/>
        <w:spacing w:before="400" w:after="200"/>
      </w:pPr>
      <w:r>
        <w:rPr>
          <w:b/>
          <w:bCs/>
          <w:sz w:val="32"/>
          <w:szCs w:val="32"/>
        </w:rPr>
        <w:t xml:space="preserve">11. Integrity Breach Detection and Response</w:t>
      </w:r>
    </w:p>
    <w:p>
      <w:pPr>
        <w:pStyle w:val="Heading2"/>
        <w:spacing w:before="300" w:after="150"/>
      </w:pPr>
      <w:r>
        <w:rPr>
          <w:b/>
          <w:bCs/>
          <w:sz w:val="26"/>
          <w:szCs w:val="26"/>
        </w:rPr>
        <w:t xml:space="preserve">11.1 Definition and Classification of Integrity Breaches</w:t>
      </w:r>
    </w:p>
    <w:p>
      <w:pPr>
        <w:spacing w:after="200"/>
      </w:pPr>
      <w:r>
        <w:t xml:space="preserve">An integrity breach occurs when any event compromises or may have compromised the trustworthiness of data governed by this standard. Integrity breaches include confirmed unauthorized access, suspected unauthorized access where confirmation is not possible, unauthorized modification, detected data corruption including hash verification failures, unplanned data deletion or loss, breaks in chain of custody that cannot be reconciled, discovery of documentation gaps that leave data history uncertain, and discovery of system vulnerabilities that may have been exploited.</w:t>
      </w:r>
    </w:p>
    <w:p>
      <w:pPr>
        <w:spacing w:after="200"/>
      </w:pPr>
      <w:r>
        <w:t xml:space="preserve">An integrity breach is defined by the potential for compromise, not by confirmation of actual data alteration. If an event occurs that could have resulted in unauthorized data modification, and it cannot be affirmatively demonstrated that no modification occurred, an integrity breach has occurred. The burden of proof is on the custodian to demonstrate integrity, not on the challenger to prove alteration.</w:t>
      </w:r>
    </w:p>
    <w:p>
      <w:pPr>
        <w:spacing w:after="200"/>
      </w:pPr>
      <w:r>
        <w:t xml:space="preserve">Breaches SHALL be classified by severity as Critical, where there is confirmed or highly likely data alteration or destruction affecting data with current legal, regulatory, or safety significance; Major, where there is potential data compromise that cannot be ruled out, or confirmed compromise of data without current critical uses; or Minor, where there is a procedural violation or documentation gap that does not indicate actual data compromise. Classification SHALL be documented and SHALL drive response timelines and notification requirements.</w:t>
      </w:r>
    </w:p>
    <w:p>
      <w:pPr>
        <w:pStyle w:val="Heading2"/>
        <w:spacing w:before="300" w:after="150"/>
      </w:pPr>
      <w:r>
        <w:rPr>
          <w:b/>
          <w:bCs/>
          <w:sz w:val="26"/>
          <w:szCs w:val="26"/>
        </w:rPr>
        <w:t xml:space="preserve">11.2 Detection Mechanisms</w:t>
      </w:r>
    </w:p>
    <w:p>
      <w:pPr>
        <w:spacing w:after="200"/>
      </w:pPr>
      <w:r>
        <w:t xml:space="preserve">Organizations SHALL implement mechanisms to detect integrity breaches. Detection mechanisms SHALL include integrity verification through cryptographic hash comparison at intervals specified in Section 7; access monitoring with alerting for anomalous patterns including access outside normal hours, access from unusual locations, and excessive access volume; regular audit trail review at least quarterly with documented procedures; automated integrity checking for all stored data at least monthly; and vulnerability assessment and penetration testing at least annually.</w:t>
      </w:r>
    </w:p>
    <w:p>
      <w:pPr>
        <w:spacing w:after="200"/>
      </w:pPr>
      <w:r>
        <w:t xml:space="preserve">Detection mechanisms SHALL be sufficient to identify breaches within a timeframe appropriate to the sensitivity and criticality of the data. For Critical data, detection capability SHALL target identification within twenty-four (24) hours. For all data, maximum time to detection SHALL not exceed thirty (30) days. Organizations SHALL document their detection capability and SHALL regularly test detection through exercises or red-team activities.</w:t>
      </w:r>
    </w:p>
    <w:p>
      <w:pPr>
        <w:pStyle w:val="Heading2"/>
        <w:spacing w:before="300" w:after="150"/>
      </w:pPr>
      <w:r>
        <w:rPr>
          <w:b/>
          <w:bCs/>
          <w:sz w:val="26"/>
          <w:szCs w:val="26"/>
        </w:rPr>
        <w:t xml:space="preserve">11.3 Mandatory Response Timeline</w:t>
      </w:r>
    </w:p>
    <w:p>
      <w:pPr>
        <w:spacing w:after="200"/>
      </w:pPr>
      <w:r>
        <w:t xml:space="preserve">Upon detection of a confirmed or suspected integrity breach, organizations SHALL initiate response actions according to the following timeline.</w:t>
      </w:r>
    </w:p>
    <w:p>
      <w:pPr>
        <w:spacing w:after="200"/>
      </w:pPr>
      <w:r>
        <w:rPr>
          <w:b/>
          <w:bCs/>
        </w:rPr>
        <w:t xml:space="preserve">Immediate (within 4 hours): </w:t>
      </w:r>
      <w:r>
        <w:t xml:space="preserve">Quarantine affected data to prevent further access or modification pending investigation. Preserve all relevant audit logs and system states. Notify internal security and data governance personnel. Document initial detection circumstances.</w:t>
      </w:r>
    </w:p>
    <w:p>
      <w:pPr>
        <w:spacing w:after="200"/>
      </w:pPr>
      <w:r>
        <w:rPr>
          <w:b/>
          <w:bCs/>
        </w:rPr>
        <w:t xml:space="preserve">Within 24 hours: </w:t>
      </w:r>
      <w:r>
        <w:t xml:space="preserve">Complete preliminary assessment of breach scope. Classify breach severity. Identify potentially affected parties. For Critical breaches, initiate external notification process.</w:t>
      </w:r>
    </w:p>
    <w:p>
      <w:pPr>
        <w:spacing w:after="200"/>
      </w:pPr>
      <w:r>
        <w:rPr>
          <w:b/>
          <w:bCs/>
        </w:rPr>
        <w:t xml:space="preserve">Within 72 hours: </w:t>
      </w:r>
      <w:r>
        <w:t xml:space="preserve">Complete notification to affected parties for Critical and Major breaches. Document investigation progress. Implement containment measures.</w:t>
      </w:r>
    </w:p>
    <w:p>
      <w:pPr>
        <w:spacing w:after="200"/>
      </w:pPr>
      <w:r>
        <w:rPr>
          <w:b/>
          <w:bCs/>
        </w:rPr>
        <w:t xml:space="preserve">Within 30 days: </w:t>
      </w:r>
      <w:r>
        <w:t xml:space="preserve">Complete investigation and root cause analysis. Implement remediation for affected data. Document lessons learned and implement preventive measures.</w:t>
      </w:r>
    </w:p>
    <w:p>
      <w:pPr>
        <w:pStyle w:val="Heading2"/>
        <w:spacing w:before="300" w:after="150"/>
      </w:pPr>
      <w:r>
        <w:rPr>
          <w:b/>
          <w:bCs/>
          <w:sz w:val="26"/>
          <w:szCs w:val="26"/>
        </w:rPr>
        <w:t xml:space="preserve">11.4 Notification Requirements</w:t>
      </w:r>
    </w:p>
    <w:p>
      <w:pPr>
        <w:spacing w:after="200"/>
      </w:pPr>
      <w:r>
        <w:t xml:space="preserve">Organizations SHALL notify affected parties of integrity breaches that may affect data in which those parties have an interest. Notification SHALL include a description of the breach and its classification, the date and time of detection and estimated date of occurrence, the data potentially affected identified with sufficient specificity for recipients to assess their exposure, an assessment of potential impact, steps being taken in response, and contact information for further inquiries.</w:t>
      </w:r>
    </w:p>
    <w:p>
      <w:pPr>
        <w:spacing w:after="200"/>
      </w:pPr>
      <w:r>
        <w:t xml:space="preserve">For Critical breaches, notification SHALL occur within seventy-two (72) hours of detection. For Major breaches, notification SHALL occur within seven (7) calendar days. For Minor breaches, notification MAY be consolidated in periodic reports. Organizations SHALL maintain current contact information for parties requiring notification and SHALL document all notification activities.</w:t>
      </w:r>
    </w:p>
    <w:p>
      <w:pPr>
        <w:pStyle w:val="Heading2"/>
        <w:spacing w:before="300" w:after="150"/>
      </w:pPr>
      <w:r>
        <w:rPr>
          <w:b/>
          <w:bCs/>
          <w:sz w:val="26"/>
          <w:szCs w:val="26"/>
        </w:rPr>
        <w:t xml:space="preserve">11.5 Quarantine and Remediation Procedures</w:t>
      </w:r>
    </w:p>
    <w:p>
      <w:pPr>
        <w:spacing w:after="200"/>
      </w:pPr>
      <w:r>
        <w:t xml:space="preserve">Quarantined data SHALL remain quarantined until a documented remediation process is complete. Remediation may result in data being returned to normal status if the investigation determines no compromise occurred and integrity can be verified; data being permanently flagged as potentially compromised if uncertainty remains; or data being invalidated if compromise is confirmed or cannot be ruled out with reasonable confidence.</w:t>
      </w:r>
    </w:p>
    <w:p>
      <w:pPr>
        <w:spacing w:after="200"/>
      </w:pPr>
      <w:r>
        <w:t xml:space="preserve">Remediation decisions SHALL be documented and SHALL include the basis for the decision with supporting evidence, the identity of the decision maker and their authority, any limitations on future use of the data, and hash values of data before and after any remediation actions. Remediation documentation SHALL be permanently linked to the affected data and SHALL be included in provenance records.</w:t>
      </w:r>
    </w:p>
    <w:p>
      <w:pPr>
        <w:pStyle w:val="Heading2"/>
        <w:spacing w:before="300" w:after="150"/>
      </w:pPr>
      <w:r>
        <w:rPr>
          <w:b/>
          <w:bCs/>
          <w:sz w:val="26"/>
          <w:szCs w:val="26"/>
        </w:rPr>
        <w:t xml:space="preserve">11.6 Prohibition on Silent Retention</w:t>
      </w:r>
    </w:p>
    <w:p>
      <w:pPr>
        <w:spacing w:after="200"/>
      </w:pPr>
      <w:r>
        <w:t xml:space="preserve">Data that has been subject to an integrity breach SHALL NOT be silently retained in a manner that obscures its compromised status. If data integrity cannot be defended, the data SHALL be explicitly downgraded, flagged, or invalidated. Users of the data SHALL have clear notice of its integrity status through metadata flags, separate documentation, or both.</w:t>
      </w:r>
    </w:p>
    <w:p>
      <w:pPr>
        <w:spacing w:after="200"/>
      </w:pPr>
      <w:r>
        <w:t xml:space="preserve">Organizations SHALL NOT delete data solely to avoid disclosure of an integrity breach. Deletion of breached data SHALL occur only through normal decommissioning procedures after all notification and documentation requirements have been satisfied.</w:t>
      </w:r>
    </w:p>
    <w:p>
      <w:r>
        <w:br w:type="page"/>
      </w:r>
    </w:p>
    <w:p>
      <w:pPr>
        <w:pStyle w:val="Heading1"/>
        <w:spacing w:before="400" w:after="200"/>
      </w:pPr>
      <w:r>
        <w:rPr>
          <w:b/>
          <w:bCs/>
          <w:sz w:val="32"/>
          <w:szCs w:val="32"/>
        </w:rPr>
        <w:t xml:space="preserve">12. Data Retention, Archival, and Disposal</w:t>
      </w:r>
    </w:p>
    <w:p>
      <w:pPr>
        <w:pStyle w:val="Heading2"/>
        <w:spacing w:before="300" w:after="150"/>
      </w:pPr>
      <w:r>
        <w:rPr>
          <w:b/>
          <w:bCs/>
          <w:sz w:val="26"/>
          <w:szCs w:val="26"/>
        </w:rPr>
        <w:t xml:space="preserve">12.1 Minimum Retention Periods</w:t>
      </w:r>
    </w:p>
    <w:p>
      <w:pPr>
        <w:spacing w:after="200"/>
      </w:pPr>
      <w:r>
        <w:t xml:space="preserve">Organizations SHALL establish minimum retention periods for all data governed by this standard. Retention periods SHALL be based on scientific value, regulatory requirements, contractual obligations, potential litigation exposure, and the potential for data to be required in future disputes or proceedings.</w:t>
      </w:r>
    </w:p>
    <w:p>
      <w:pPr>
        <w:spacing w:after="200"/>
      </w:pPr>
      <w:r>
        <w:t xml:space="preserve">The following minimum retention periods apply unless longer periods are required by applicable regulations or contracts. Raw data SHALL be retained for the longer of ten (10) years from collection or five (5) years after the last use of any derived product created from that raw data. Derived data SHALL be retained for at least as long as any downstream product, publication, or decision that depends on it, plus three (3) years. Audit trails and provenance records SHALL be retained for the life of the associated data plus seven (7) years. Calibration records SHALL be retained for the life of all data collected under each calibration plus five (5) years.</w:t>
      </w:r>
    </w:p>
    <w:p>
      <w:pPr>
        <w:pStyle w:val="Heading2"/>
        <w:spacing w:before="300" w:after="150"/>
      </w:pPr>
      <w:r>
        <w:rPr>
          <w:b/>
          <w:bCs/>
          <w:sz w:val="26"/>
          <w:szCs w:val="26"/>
        </w:rPr>
        <w:t xml:space="preserve">12.2 Regulatory Alignment</w:t>
      </w:r>
    </w:p>
    <w:p>
      <w:pPr>
        <w:spacing w:after="200"/>
      </w:pPr>
      <w:r>
        <w:t xml:space="preserve">Organizations SHALL identify and comply with all retention requirements imposed by applicable regulatory frameworks. Where regulatory retention periods exceed the minimums specified in this standard, the regulatory requirements SHALL govern. Organizations SHOULD consult the following regulatory frameworks for potentially applicable retention requirements: United States federal records retention requirements under 44 U.S.C. Chapter 31; European Union General Data Protection Regulation requirements for personal data; environmental monitoring data retention requirements under EPA regulations; maritime data retention requirements under IMO conventions; and scientific data retention requirements from funding agencies.</w:t>
      </w:r>
    </w:p>
    <w:p>
      <w:pPr>
        <w:spacing w:after="200"/>
      </w:pPr>
      <w:r>
        <w:t xml:space="preserve">Organizations SHALL document their retention period determinations including the regulatory analysis supporting each determination. Where regulatory requirements are ambiguous, organizations SHALL err on the side of longer retention and SHALL document the basis for their interpretation.</w:t>
      </w:r>
    </w:p>
    <w:p>
      <w:pPr>
        <w:pStyle w:val="Heading2"/>
        <w:spacing w:before="300" w:after="150"/>
      </w:pPr>
      <w:r>
        <w:rPr>
          <w:b/>
          <w:bCs/>
          <w:sz w:val="26"/>
          <w:szCs w:val="26"/>
        </w:rPr>
        <w:t xml:space="preserve">12.3 Archival System Requirements</w:t>
      </w:r>
    </w:p>
    <w:p>
      <w:pPr>
        <w:spacing w:after="200"/>
      </w:pPr>
      <w:r>
        <w:t xml:space="preserve">Archived data SHALL be stored in systems that maintain data integrity over the retention period. Archival systems SHALL implement redundancy with at least three (3) independent copies of all archived data; geographic distribution with copies in at least two (2) geographically separated locations sufficient to survive regional disasters; media diversity where feasible, using at least two (2) different storage technologies to protect against technology-specific failures; integrity verification through cryptographic hash comparison at least annually; and access logging meeting the requirements of Section 10.</w:t>
      </w:r>
    </w:p>
    <w:p>
      <w:pPr>
        <w:spacing w:after="200"/>
      </w:pPr>
      <w:r>
        <w:t xml:space="preserve">Archived data SHALL remain accessible throughout the retention period. Accessibility means that authorized parties can retrieve the data in usable form within a timeframe appropriate to reasonably anticipated needs, which SHALL be documented but SHALL NOT exceed thirty (30) calendar days for non-emergency requests. Emergency retrieval capability SHALL be documented.</w:t>
      </w:r>
    </w:p>
    <w:p>
      <w:pPr>
        <w:pStyle w:val="Heading2"/>
        <w:spacing w:before="300" w:after="150"/>
      </w:pPr>
      <w:r>
        <w:rPr>
          <w:b/>
          <w:bCs/>
          <w:sz w:val="26"/>
          <w:szCs w:val="26"/>
        </w:rPr>
        <w:t xml:space="preserve">12.4 Format and Technology Migration</w:t>
      </w:r>
    </w:p>
    <w:p>
      <w:pPr>
        <w:spacing w:after="200"/>
      </w:pPr>
      <w:r>
        <w:t xml:space="preserve">Organizations SHALL monitor the viability of data formats and storage technologies used for archived data. Format and technology obsolescence assessment SHALL be performed at least every three (3) years. When formats or technologies approach obsolescence, defined as manufacturer end-of-support within five (5) years, organizations SHALL plan and execute migration to current formats and technologies.</w:t>
      </w:r>
    </w:p>
    <w:p>
      <w:pPr>
        <w:spacing w:after="200"/>
      </w:pPr>
      <w:r>
        <w:t xml:space="preserve">Format migrations SHALL be documented as transformations in accordance with Section 8. Migrations SHALL preserve data integrity, which SHALL be verified through hash comparison where formats are bit-compatible, or through content verification where format differences make bit comparison inapplicable. Where format migration involves any potential for data loss or alteration, the original format data SHALL be retained alongside the migrated data until verification confirms the migration preserves all required information.</w:t>
      </w:r>
    </w:p>
    <w:p>
      <w:pPr>
        <w:pStyle w:val="Heading2"/>
        <w:spacing w:before="300" w:after="150"/>
      </w:pPr>
      <w:r>
        <w:rPr>
          <w:b/>
          <w:bCs/>
          <w:sz w:val="26"/>
          <w:szCs w:val="26"/>
        </w:rPr>
        <w:t xml:space="preserve">12.5 Controlled Disposal</w:t>
      </w:r>
    </w:p>
    <w:p>
      <w:pPr>
        <w:spacing w:after="200"/>
      </w:pPr>
      <w:r>
        <w:t xml:space="preserve">Data disposal SHALL occur only when the retention period has expired and no hold or preservation requirement applies. Disposal SHALL be authorized by a designated authority with documented delegation for disposal decisions. Disposal SHALL be documented with records that include the identity of what was disposed of including data identifiers and hashes, the date and time of disposal, the identity of the authorizing authority, the disposal method used, verification that all copies were disposed of, and certification that no hold or preservation requirement applied.</w:t>
      </w:r>
    </w:p>
    <w:p>
      <w:pPr>
        <w:spacing w:after="200"/>
      </w:pPr>
      <w:r>
        <w:t xml:space="preserve">Disposal methods SHALL ensure that disposed data cannot be recovered. For data stored on physical media, disposal SHALL include secure erasure meeting NIST SP 800-88 guidelines or physical destruction with certificate of destruction. For data stored in cloud or distributed systems, disposal SHALL include verification from the service provider that all copies have been purged from primary storage and backup systems.</w:t>
      </w:r>
    </w:p>
    <w:p>
      <w:pPr>
        <w:pStyle w:val="Heading2"/>
        <w:spacing w:before="300" w:after="150"/>
      </w:pPr>
      <w:r>
        <w:rPr>
          <w:b/>
          <w:bCs/>
          <w:sz w:val="26"/>
          <w:szCs w:val="26"/>
        </w:rPr>
        <w:t xml:space="preserve">12.6 Legal Holds and Preservation</w:t>
      </w:r>
    </w:p>
    <w:p>
      <w:pPr>
        <w:spacing w:after="200"/>
      </w:pPr>
      <w:r>
        <w:t xml:space="preserve">Where data is subject to litigation hold, regulatory hold, or other preservation requirements, disposal SHALL NOT occur regardless of retention period expiration. Organizations SHALL implement procedures to identify and track holds, communicate holds to all custodians of affected data, prevent disposal of held data through technical and procedural controls, and document the basis and scope of each hold.</w:t>
      </w:r>
    </w:p>
    <w:p>
      <w:pPr>
        <w:spacing w:after="200"/>
      </w:pPr>
      <w:r>
        <w:t xml:space="preserve">Hold procedures SHALL include periodic review to determine whether holds remain in effect. When holds are released, the release SHALL be documented and normal retention periods shall resume, with the hold period generally not counting toward retention period expiration.</w:t>
      </w:r>
    </w:p>
    <w:p>
      <w:r>
        <w:br w:type="page"/>
      </w:r>
    </w:p>
    <w:p>
      <w:pPr>
        <w:pStyle w:val="Heading1"/>
        <w:spacing w:before="400" w:after="200"/>
      </w:pPr>
      <w:r>
        <w:rPr>
          <w:b/>
          <w:bCs/>
          <w:sz w:val="32"/>
          <w:szCs w:val="32"/>
        </w:rPr>
        <w:t xml:space="preserve">13. Verification, Validation, and Audit Readiness</w:t>
      </w:r>
    </w:p>
    <w:p>
      <w:pPr>
        <w:pStyle w:val="Heading2"/>
        <w:spacing w:before="300" w:after="150"/>
      </w:pPr>
      <w:r>
        <w:rPr>
          <w:b/>
          <w:bCs/>
          <w:sz w:val="26"/>
          <w:szCs w:val="26"/>
        </w:rPr>
        <w:t xml:space="preserve">13.1 Pre-Mission Readiness Checks</w:t>
      </w:r>
    </w:p>
    <w:p>
      <w:pPr>
        <w:spacing w:after="200"/>
      </w:pPr>
      <w:r>
        <w:t xml:space="preserve">Organizations SHALL perform documented readiness checks before each mission, deployment, or data collection operation. Readiness checks SHALL verify that all instruments are within calibration, time systems are synchronized with documented accuracy, storage systems are functioning with adequate capacity for planned collection, all required metadata fields are configured, integrity verification systems are operational, responsible parties are designated and documented, and all personnel understand their data governance responsibilities.</w:t>
      </w:r>
    </w:p>
    <w:p>
      <w:pPr>
        <w:spacing w:after="200"/>
      </w:pPr>
      <w:r>
        <w:t xml:space="preserve">Readiness checks SHALL be documented using a standardized checklist, and the documentation SHALL be linked to data collected during the subsequent operation. Where readiness checks reveal issues that cannot be resolved before deployment, the decision to proceed and its rationale SHALL be documented by an authorized decision maker, and any data quality implications SHALL be recorded in data metadata.</w:t>
      </w:r>
    </w:p>
    <w:p>
      <w:pPr>
        <w:pStyle w:val="Heading2"/>
        <w:spacing w:before="300" w:after="150"/>
      </w:pPr>
      <w:r>
        <w:rPr>
          <w:b/>
          <w:bCs/>
          <w:sz w:val="26"/>
          <w:szCs w:val="26"/>
        </w:rPr>
        <w:t xml:space="preserve">13.2 Post-Mission Verification</w:t>
      </w:r>
    </w:p>
    <w:p>
      <w:pPr>
        <w:spacing w:after="200"/>
      </w:pPr>
      <w:r>
        <w:t xml:space="preserve">Following each mission, deployment, or data collection operation, organizations SHALL verify the integrity and completeness of collected data. Post-mission verification SHALL include integrity checks using cryptographic hash computation and verification; completeness verification against expected data volumes and coverage; identification of any gaps, anomalies, or quality issues; time source reconciliation and drift assessment; calibration state reconciliation; and review of autonomous system decision logs where applicable.</w:t>
      </w:r>
    </w:p>
    <w:p>
      <w:pPr>
        <w:spacing w:after="200"/>
      </w:pPr>
      <w:r>
        <w:t xml:space="preserve">Post-mission verification results SHALL be documented and linked to the data. Any issues identified during verification SHALL be recorded in data metadata and SHALL be addressed through appropriate quality flagging or remediation procedures. Post-mission verification SHALL be completed within thirty (30) days of mission completion.</w:t>
      </w:r>
    </w:p>
    <w:p>
      <w:pPr>
        <w:pStyle w:val="Heading2"/>
        <w:spacing w:before="300" w:after="150"/>
      </w:pPr>
      <w:r>
        <w:rPr>
          <w:b/>
          <w:bCs/>
          <w:sz w:val="26"/>
          <w:szCs w:val="26"/>
        </w:rPr>
        <w:t xml:space="preserve">13.3 Prohibited Operational Conditions</w:t>
      </w:r>
    </w:p>
    <w:p>
      <w:pPr>
        <w:spacing w:after="200"/>
      </w:pPr>
      <w:r>
        <w:t xml:space="preserve">Organizations SHALL NOT collect data governed by this standard under conditions that make compliance with this standard impossible. Prohibited conditions include operation with systems incapable of recording required metadata, operation with no functioning integrity verification capability such as inability to compute hashes, operation with no means of maintaining chain of custody, and operation with no means of recording time with documented accuracy.</w:t>
      </w:r>
    </w:p>
    <w:p>
      <w:pPr>
        <w:spacing w:after="200"/>
      </w:pPr>
      <w:r>
        <w:t xml:space="preserve">Where prohibited conditions arise during an operation that began in compliance, the organization SHALL document the onset of prohibited conditions including time and cause, SHALL flag all subsequently collected data as potentially non-compliant, and SHALL document the decision to continue or abort collection. Decisions to continue collecting data under prohibited conditions SHALL be authorized by designated authority and documented with rationale.</w:t>
      </w:r>
    </w:p>
    <w:p>
      <w:pPr>
        <w:pStyle w:val="Heading2"/>
        <w:spacing w:before="300" w:after="150"/>
      </w:pPr>
      <w:r>
        <w:rPr>
          <w:b/>
          <w:bCs/>
          <w:sz w:val="26"/>
          <w:szCs w:val="26"/>
        </w:rPr>
        <w:t xml:space="preserve">13.4 Compliance Evidence Requirements</w:t>
      </w:r>
    </w:p>
    <w:p>
      <w:pPr>
        <w:spacing w:after="200"/>
      </w:pPr>
      <w:r>
        <w:t xml:space="preserve">Compliance with this standard is demonstrated through documentation, not assertion. An organization claiming ODICS-001 compliance SHALL be able to produce documentation showing conformance with each applicable requirement for each data element claimed to be compliant.</w:t>
      </w:r>
    </w:p>
    <w:p>
      <w:pPr>
        <w:spacing w:after="200"/>
      </w:pPr>
      <w:r>
        <w:t xml:space="preserve">Documentation SHALL be sufficient to permit independent audit by parties unfamiliar with the organization's systems and procedures. Where documentation relies on system-generated records, the organization SHALL be able to demonstrate the integrity of those records through hash verification or other tamper-evidence mechanisms, the completeness of those records through gap analysis, and the accuracy of those records through correlation with independent sources where available.</w:t>
      </w:r>
    </w:p>
    <w:p>
      <w:pPr>
        <w:pStyle w:val="Heading2"/>
        <w:spacing w:before="300" w:after="150"/>
      </w:pPr>
      <w:r>
        <w:rPr>
          <w:b/>
          <w:bCs/>
          <w:sz w:val="26"/>
          <w:szCs w:val="26"/>
        </w:rPr>
        <w:t xml:space="preserve">13.5 Audit Cooperation</w:t>
      </w:r>
    </w:p>
    <w:p>
      <w:pPr>
        <w:spacing w:after="200"/>
      </w:pPr>
      <w:r>
        <w:t xml:space="preserve">Compliance audits MAY be conducted by internal parties, external parties, or a combination. Organizations claiming compliance SHALL cooperate with reasonable audit requests from authorized parties and SHALL provide access to documentation including all provenance, audit trail, and integrity verification records; systems including demonstration of integrity verification and access control mechanisms; personnel including those responsible for data governance decisions; and data including ability to verify integrity through hash comparison.</w:t>
      </w:r>
    </w:p>
    <w:p>
      <w:pPr>
        <w:spacing w:after="200"/>
      </w:pPr>
      <w:r>
        <w:t xml:space="preserve">Organizations MAY establish reasonable procedures for scheduling audit access and protecting confidential business information, provided such procedures do not unreasonably impede legitimate audit activities. Refusal to cooperate with authorized audits may be grounds for withdrawal of compliance certification or claims.</w:t>
      </w:r>
    </w:p>
    <w:p>
      <w:r>
        <w:br w:type="page"/>
      </w:r>
    </w:p>
    <w:p>
      <w:pPr>
        <w:pStyle w:val="Heading1"/>
        <w:spacing w:before="400" w:after="200"/>
      </w:pPr>
      <w:r>
        <w:rPr>
          <w:b/>
          <w:bCs/>
          <w:sz w:val="32"/>
          <w:szCs w:val="32"/>
        </w:rPr>
        <w:t xml:space="preserve">14. Relationship to Other Standards and Regulatory Frameworks</w:t>
      </w:r>
    </w:p>
    <w:p>
      <w:pPr>
        <w:pStyle w:val="Heading2"/>
        <w:spacing w:before="300" w:after="150"/>
      </w:pPr>
      <w:r>
        <w:rPr>
          <w:b/>
          <w:bCs/>
          <w:sz w:val="26"/>
          <w:szCs w:val="26"/>
        </w:rPr>
        <w:t xml:space="preserve">14.1 ISO Standards Alignment</w:t>
      </w:r>
    </w:p>
    <w:p>
      <w:pPr>
        <w:spacing w:after="200"/>
      </w:pPr>
      <w:r>
        <w:t xml:space="preserve">Organizations implementing ODICS-001 SHOULD consider alignment with the following ISO standards, which address related aspects of data quality, management, and security.</w:t>
      </w:r>
    </w:p>
    <w:p>
      <w:pPr>
        <w:spacing w:after="200"/>
      </w:pPr>
      <w:r>
        <w:rPr>
          <w:b/>
          <w:bCs/>
        </w:rPr>
        <w:t xml:space="preserve">ISO 19115 (Geographic Information - Metadata) </w:t>
      </w:r>
      <w:r>
        <w:t xml:space="preserve">provides a framework for geospatial metadata that complements the metadata requirements of this standard. Organizations collecting geospatially-referenced ocean data SHOULD implement ISO 19115-compliant metadata in addition to the provenance and integrity metadata required by ODICS-001. Where ISO 19115 metadata elements overlap with ODICS-001 requirements, organizations SHALL ensure consistency between the two representations.</w:t>
      </w:r>
    </w:p>
    <w:p>
      <w:pPr>
        <w:spacing w:after="200"/>
      </w:pPr>
      <w:r>
        <w:rPr>
          <w:b/>
          <w:bCs/>
        </w:rPr>
        <w:t xml:space="preserve">ISO 27001 (Information Security Management) </w:t>
      </w:r>
      <w:r>
        <w:t xml:space="preserve">provides a framework for information security management that supports the access control, audit, and breach response requirements of this standard. Organizations SHOULD consider ISO 27001 certification for systems handling data governed by ODICS-001. ISO 27001 controls for access management (A.9), cryptography (A.10), and incident management (A.16) are particularly relevant.</w:t>
      </w:r>
    </w:p>
    <w:p>
      <w:pPr>
        <w:spacing w:after="200"/>
      </w:pPr>
      <w:r>
        <w:rPr>
          <w:b/>
          <w:bCs/>
        </w:rPr>
        <w:t xml:space="preserve">ISO 17025 (Testing and Calibration Laboratories) </w:t>
      </w:r>
      <w:r>
        <w:t xml:space="preserve">provides requirements for the competence of testing and calibration laboratories that support the calibration traceability requirements of Section 4. Organizations SHOULD use ISO 17025-accredited laboratories for calibration where available. Where accredited laboratories are not available, organizations SHALL document the basis for confidence in calibration quality.</w:t>
      </w:r>
    </w:p>
    <w:p>
      <w:pPr>
        <w:spacing w:after="200"/>
      </w:pPr>
      <w:r>
        <w:rPr>
          <w:b/>
          <w:bCs/>
        </w:rPr>
        <w:t xml:space="preserve">ISO 9001 (Quality Management) </w:t>
      </w:r>
      <w:r>
        <w:t xml:space="preserve">provides a framework for quality management systems that supports the procedural and documentation requirements of this standard. Organizations with ISO 9001 certification SHOULD integrate ODICS-001 requirements into their quality management system.</w:t>
      </w:r>
    </w:p>
    <w:p>
      <w:pPr>
        <w:pStyle w:val="Heading2"/>
        <w:spacing w:before="300" w:after="150"/>
      </w:pPr>
      <w:r>
        <w:rPr>
          <w:b/>
          <w:bCs/>
          <w:sz w:val="26"/>
          <w:szCs w:val="26"/>
        </w:rPr>
        <w:t xml:space="preserve">14.2 Scientific Data Management Alignment</w:t>
      </w:r>
    </w:p>
    <w:p>
      <w:pPr>
        <w:spacing w:after="200"/>
      </w:pPr>
      <w:r>
        <w:t xml:space="preserve">Organizations implementing ODICS-001 SHOULD consider alignment with established scientific data management principles and frameworks.</w:t>
      </w:r>
    </w:p>
    <w:p>
      <w:pPr>
        <w:spacing w:after="200"/>
      </w:pPr>
      <w:r>
        <w:rPr>
          <w:b/>
          <w:bCs/>
        </w:rPr>
        <w:t xml:space="preserve">FAIR Principles </w:t>
      </w:r>
      <w:r>
        <w:t xml:space="preserve">(Findable, Accessible, Interoperable, Reusable) represent widely-adopted principles for scientific data management. ODICS-001 addresses the integrity and custody foundations upon which FAIR compliance can be built. Data meeting ODICS-001 requirements has documented provenance (supporting Findability), verified integrity (supporting Reusability), and clear custody (supporting Accessibility). Organizations pursuing FAIR compliance SHOULD view ODICS-001 as addressing complementary concerns rather than competing requirements.</w:t>
      </w:r>
    </w:p>
    <w:p>
      <w:pPr>
        <w:spacing w:after="200"/>
      </w:pPr>
      <w:r>
        <w:rPr>
          <w:b/>
          <w:bCs/>
        </w:rPr>
        <w:t xml:space="preserve">Ocean Best Practices System (OBPS) </w:t>
      </w:r>
      <w:r>
        <w:t xml:space="preserve">maintained by the International Oceanographic Data and Information Exchange (IODE) provides community-developed best practices for ocean observation and data management. Organizations SHOULD consult OBPS for domain-specific guidance on data collection methods, quality control procedures, and metadata conventions that complement ODICS-001 requirements.</w:t>
      </w:r>
    </w:p>
    <w:p>
      <w:pPr>
        <w:spacing w:after="200"/>
      </w:pPr>
      <w:r>
        <w:rPr>
          <w:b/>
          <w:bCs/>
        </w:rPr>
        <w:t xml:space="preserve">Research Data Alliance (RDA) Recommendations </w:t>
      </w:r>
      <w:r>
        <w:t xml:space="preserve">provide guidance on data citation, persistent identifiers, and data packaging that support the provenance and traceability requirements of this standard. Organizations SHOULD consider RDA recommendations when implementing data identification and citation practices.</w:t>
      </w:r>
    </w:p>
    <w:p>
      <w:pPr>
        <w:pStyle w:val="Heading2"/>
        <w:spacing w:before="300" w:after="150"/>
      </w:pPr>
      <w:r>
        <w:rPr>
          <w:b/>
          <w:bCs/>
          <w:sz w:val="26"/>
          <w:szCs w:val="26"/>
        </w:rPr>
        <w:t xml:space="preserve">14.3 Autonomous System Standards</w:t>
      </w:r>
    </w:p>
    <w:p>
      <w:pPr>
        <w:spacing w:after="200"/>
      </w:pPr>
      <w:r>
        <w:t xml:space="preserve">Organizations implementing ODICS-001 for data collected by autonomous systems SHOULD consider alignment with applicable autonomous system standards.</w:t>
      </w:r>
    </w:p>
    <w:p>
      <w:pPr>
        <w:spacing w:after="200"/>
      </w:pPr>
      <w:r>
        <w:rPr>
          <w:b/>
          <w:bCs/>
        </w:rPr>
        <w:t xml:space="preserve">ISO 23860 (Autonomous Ships) </w:t>
      </w:r>
      <w:r>
        <w:t xml:space="preserve">and related standards under development address safety and operational requirements for maritime autonomous surface ships. Data collection requirements in these standards complement ODICS-001 autonomy documentation requirements.</w:t>
      </w:r>
    </w:p>
    <w:p>
      <w:pPr>
        <w:spacing w:after="200"/>
      </w:pPr>
      <w:r>
        <w:rPr>
          <w:b/>
          <w:bCs/>
        </w:rPr>
        <w:t xml:space="preserve">IEEE Standards for Autonomous and Intelligent Systems </w:t>
      </w:r>
      <w:r>
        <w:t xml:space="preserve">including IEEE 7000 series standards on ethical considerations and IEEE 2846 on safety, provide frameworks that complement the accountability requirements of Section 9.</w:t>
      </w:r>
    </w:p>
    <w:p>
      <w:pPr>
        <w:spacing w:after="200"/>
      </w:pPr>
      <w:r>
        <w:t xml:space="preserve">Where autonomous system safety standards include requirements relevant to data recording, logging, or preservation, organizations SHOULD implement those requirements in a manner consistent with ODICS-001. Conflicts between standards SHOULD be resolved in favor of the more stringent requirement, and the resolution SHALL be documented.</w:t>
      </w:r>
    </w:p>
    <w:p>
      <w:pPr>
        <w:pStyle w:val="Heading2"/>
        <w:spacing w:before="300" w:after="150"/>
      </w:pPr>
      <w:r>
        <w:rPr>
          <w:b/>
          <w:bCs/>
          <w:sz w:val="26"/>
          <w:szCs w:val="26"/>
        </w:rPr>
        <w:t xml:space="preserve">14.4 Environmental and Regulatory Frameworks</w:t>
      </w:r>
    </w:p>
    <w:p>
      <w:pPr>
        <w:spacing w:after="200"/>
      </w:pPr>
      <w:r>
        <w:t xml:space="preserve">Organizations implementing ODICS-001 for data intended for environmental or regulatory reporting SHOULD consider alignment with applicable regulatory frameworks.</w:t>
      </w:r>
    </w:p>
    <w:p>
      <w:pPr>
        <w:spacing w:after="200"/>
      </w:pPr>
      <w:r>
        <w:rPr>
          <w:b/>
          <w:bCs/>
        </w:rPr>
        <w:t xml:space="preserve">United States Regulatory Framework: </w:t>
      </w:r>
      <w:r>
        <w:t xml:space="preserve">EPA quality assurance requirements under 40 CFR Part 31, NOAA data management requirements, and agency-specific data standards may impose additional requirements beyond ODICS-001. Organizations SHALL identify applicable federal and state requirements and SHALL ensure that ODICS-001 implementation satisfies or exceeds those requirements.</w:t>
      </w:r>
    </w:p>
    <w:p>
      <w:pPr>
        <w:spacing w:after="200"/>
      </w:pPr>
      <w:r>
        <w:rPr>
          <w:b/>
          <w:bCs/>
        </w:rPr>
        <w:t xml:space="preserve">European Union Framework: </w:t>
      </w:r>
      <w:r>
        <w:t xml:space="preserve">The Marine Strategy Framework Directive, INSPIRE Directive for spatial data, and General Data Protection Regulation (where personal data is involved) may impose requirements on ocean data. Organizations operating in EU waters or providing data to EU authorities SHALL ensure compliance with applicable directives.</w:t>
      </w:r>
    </w:p>
    <w:p>
      <w:pPr>
        <w:spacing w:after="200"/>
      </w:pPr>
      <w:r>
        <w:rPr>
          <w:b/>
          <w:bCs/>
        </w:rPr>
        <w:t xml:space="preserve">International Maritime Organization: </w:t>
      </w:r>
      <w:r>
        <w:t xml:space="preserve">IMO conventions including MARPOL, SOLAS, and the Polar Code may impose data recording and retention requirements for vessels and operations. Organizations SHALL identify applicable IMO requirements.</w:t>
      </w:r>
    </w:p>
    <w:p>
      <w:pPr>
        <w:pStyle w:val="Heading2"/>
        <w:spacing w:before="300" w:after="150"/>
      </w:pPr>
      <w:r>
        <w:rPr>
          <w:b/>
          <w:bCs/>
          <w:sz w:val="26"/>
          <w:szCs w:val="26"/>
        </w:rPr>
        <w:t xml:space="preserve">14.5 Limitations on Legal Claims</w:t>
      </w:r>
    </w:p>
    <w:p>
      <w:pPr>
        <w:spacing w:after="200"/>
      </w:pPr>
      <w:r>
        <w:t xml:space="preserve">This standard provides technical requirements for data integrity and custody. It does not constitute legal advice and does not purport to address all legal requirements that may apply to ocean and subsea data in any jurisdiction. Organizations are responsible for understanding and complying with all applicable laws and regulations.</w:t>
      </w:r>
    </w:p>
    <w:p>
      <w:pPr>
        <w:spacing w:after="200"/>
      </w:pPr>
      <w:r>
        <w:t xml:space="preserve">Compliance with ODICS-001 may support legal defensibility of data but does not guarantee legal acceptance in any proceeding. Legal outcomes depend on many factors beyond data integrity, including applicable laws and rules of evidence, the specific procedural context, the qualifications and credibility of witnesses, the discretion of adjudicators, and opposing party challenges. Organizations should consult qualified legal counsel regarding the evidentiary requirements applicable to their specific circumstances and jurisdictions.</w:t>
      </w:r>
    </w:p>
    <w:p>
      <w:pPr>
        <w:spacing w:after="200"/>
      </w:pPr>
      <w:r>
        <w:t xml:space="preserve">Nothing in this standard creates any legal duty, obligation, or liability beyond those that would otherwise exist under applicable law. ODICS-001 compliance is a voluntary undertaking, and the standard is provided without warranty of fitness for any particular legal or regulatory purpose.</w:t>
      </w:r>
    </w:p>
    <w:p>
      <w:r>
        <w:br w:type="page"/>
      </w:r>
    </w:p>
    <w:p>
      <w:pPr>
        <w:pStyle w:val="Heading1"/>
        <w:spacing w:before="400" w:after="200"/>
      </w:pPr>
      <w:r>
        <w:rPr>
          <w:b/>
          <w:bCs/>
          <w:sz w:val="32"/>
          <w:szCs w:val="32"/>
        </w:rPr>
        <w:t xml:space="preserve">15. Certification and Compliance Assessment</w:t>
      </w:r>
    </w:p>
    <w:p>
      <w:pPr>
        <w:pStyle w:val="Heading2"/>
        <w:spacing w:before="300" w:after="150"/>
      </w:pPr>
      <w:r>
        <w:rPr>
          <w:b/>
          <w:bCs/>
          <w:sz w:val="26"/>
          <w:szCs w:val="26"/>
        </w:rPr>
        <w:t xml:space="preserve">15.1 Self-Assessment</w:t>
      </w:r>
    </w:p>
    <w:p>
      <w:pPr>
        <w:spacing w:after="200"/>
      </w:pPr>
      <w:r>
        <w:t xml:space="preserve">Organizations MAY self-assess compliance with this standard using the compliance evidence requirements of Section 13.4. Self-assessed compliance claims SHALL clearly identify the scope of the claim (which data, systems, and operations are covered), the version of the standard against which compliance is claimed, the date of assessment, and any limitations or exceptions.</w:t>
      </w:r>
    </w:p>
    <w:p>
      <w:pPr>
        <w:spacing w:after="200"/>
      </w:pPr>
      <w:r>
        <w:t xml:space="preserve">Self-assessment does not constitute independent verification of compliance. Organizations relying on self-assessed compliance claims from other parties SHOULD consider the limitations of self-assessment and MAY require independent audit rights as a condition of data acceptance.</w:t>
      </w:r>
    </w:p>
    <w:p>
      <w:pPr>
        <w:pStyle w:val="Heading2"/>
        <w:spacing w:before="300" w:after="150"/>
      </w:pPr>
      <w:r>
        <w:rPr>
          <w:b/>
          <w:bCs/>
          <w:sz w:val="26"/>
          <w:szCs w:val="26"/>
        </w:rPr>
        <w:t xml:space="preserve">15.2 Independent Audit</w:t>
      </w:r>
    </w:p>
    <w:p>
      <w:pPr>
        <w:spacing w:after="200"/>
      </w:pPr>
      <w:r>
        <w:t xml:space="preserve">Organizations MAY engage independent auditors to verify compliance with this standard. Independent auditors SHOULD have documented qualifications in data governance, information security, quality management, or related disciplines. Audit organizations with ISO 17021 accreditation for management system certification or equivalent credentials are RECOMMENDED.</w:t>
      </w:r>
    </w:p>
    <w:p>
      <w:pPr>
        <w:spacing w:after="200"/>
      </w:pPr>
      <w:r>
        <w:t xml:space="preserve">Independent audit reports SHALL document the scope of the audit, the evidence examined, the findings for each applicable requirement, any nonconformities identified, and the overall compliance determination. Audit reports SHALL be available to parties relying on the compliance claim upon request, subject to reasonable confidentiality protections for sensitive business information.</w:t>
      </w:r>
    </w:p>
    <w:p>
      <w:pPr>
        <w:pStyle w:val="Heading2"/>
        <w:spacing w:before="300" w:after="150"/>
      </w:pPr>
      <w:r>
        <w:rPr>
          <w:b/>
          <w:bCs/>
          <w:sz w:val="26"/>
          <w:szCs w:val="26"/>
        </w:rPr>
        <w:t xml:space="preserve">15.3 Certification Programs</w:t>
      </w:r>
    </w:p>
    <w:p>
      <w:pPr>
        <w:spacing w:after="200"/>
      </w:pPr>
      <w:r>
        <w:t xml:space="preserve">Certification programs for ODICS-001 compliance MAY be established by the Standards Maintenance Authority, by industry associations, or by independent certification bodies. Certification programs SHALL document their certification criteria, assessment methods, auditor qualifications, and certificate maintenance requirements.</w:t>
      </w:r>
    </w:p>
    <w:p>
      <w:pPr>
        <w:spacing w:after="200"/>
      </w:pPr>
      <w:r>
        <w:t xml:space="preserve">Organizations holding ODICS-001 certification from a recognized program MAY reference that certification when claiming compliance. Certification claims SHALL identify the certifying body, the certificate number or reference, the certification date and expiration, and the scope of certification.</w:t>
      </w:r>
    </w:p>
    <w:p>
      <w:pPr>
        <w:pStyle w:val="Heading2"/>
        <w:spacing w:before="300" w:after="150"/>
      </w:pPr>
      <w:r>
        <w:rPr>
          <w:b/>
          <w:bCs/>
          <w:sz w:val="26"/>
          <w:szCs w:val="26"/>
        </w:rPr>
        <w:t xml:space="preserve">15.4 Compliance Levels</w:t>
      </w:r>
    </w:p>
    <w:p>
      <w:pPr>
        <w:spacing w:after="200"/>
      </w:pPr>
      <w:r>
        <w:t xml:space="preserve">The following compliance levels are recognized for purposes of graduated implementation.</w:t>
      </w:r>
    </w:p>
    <w:p>
      <w:pPr>
        <w:spacing w:after="200"/>
      </w:pPr>
      <w:r>
        <w:rPr>
          <w:b/>
          <w:bCs/>
        </w:rPr>
        <w:t xml:space="preserve">ODICS-001 Full Compliance: </w:t>
      </w:r>
      <w:r>
        <w:t xml:space="preserve">All SHALL requirements are implemented without exception. All SHOULD requirements are either implemented or documented deviations exist with compensating controls.</w:t>
      </w:r>
    </w:p>
    <w:p>
      <w:pPr>
        <w:spacing w:after="200"/>
      </w:pPr>
      <w:r>
        <w:rPr>
          <w:b/>
          <w:bCs/>
        </w:rPr>
        <w:t xml:space="preserve">ODICS-001 Core Compliance: </w:t>
      </w:r>
      <w:r>
        <w:t xml:space="preserve">All SHALL requirements from Sections 1-7 and 10-12 are implemented. Requirements from Sections 8, 9, 13, and 14 are implemented where applicable to the organization's operations.</w:t>
      </w:r>
    </w:p>
    <w:p>
      <w:pPr>
        <w:spacing w:after="200"/>
      </w:pPr>
      <w:r>
        <w:rPr>
          <w:b/>
          <w:bCs/>
        </w:rPr>
        <w:t xml:space="preserve">ODICS-001 Aligned: </w:t>
      </w:r>
      <w:r>
        <w:t xml:space="preserve">The organization has implemented practices consistent with the principles of this standard but has not achieved full compliance with all SHALL requirements. Aligned status SHALL NOT be claimed without documentation of the gap between current practices and full compliance.</w:t>
      </w:r>
    </w:p>
    <w:p>
      <w:pPr>
        <w:spacing w:after="200"/>
      </w:pPr>
      <w:r>
        <w:t xml:space="preserve">Only Full Compliance and Core Compliance constitute ODICS-001 compliance for purposes of claims to third parties. Organizations SHALL clearly distinguish between compliance claims and alignment statements.</w:t>
      </w:r>
    </w:p>
    <w:p>
      <w:r>
        <w:br w:type="page"/>
      </w:r>
    </w:p>
    <w:p>
      <w:pPr>
        <w:pStyle w:val="Heading1"/>
        <w:spacing w:before="400" w:after="200"/>
      </w:pPr>
      <w:r>
        <w:rPr>
          <w:b/>
          <w:bCs/>
          <w:sz w:val="32"/>
          <w:szCs w:val="32"/>
        </w:rPr>
        <w:t xml:space="preserve">End of Standard</w:t>
      </w:r>
    </w:p>
    <w:p>
      <w:pPr>
        <w:spacing w:before="400" w:after="200"/>
        <w:jc w:val="center"/>
      </w:pPr>
      <w:r>
        <w:rPr>
          <w:b/>
          <w:bCs/>
          <w:sz w:val="28"/>
          <w:szCs w:val="28"/>
        </w:rPr>
        <w:t xml:space="preserve">ODICS-001 Version 1.1</w:t>
      </w:r>
    </w:p>
    <w:p>
      <w:pPr>
        <w:spacing w:after="400"/>
        <w:jc w:val="center"/>
      </w:pPr>
      <w:r>
        <w:rPr>
          <w:i/>
          <w:iCs/>
          <w:sz w:val="24"/>
          <w:szCs w:val="24"/>
        </w:rPr>
        <w:t xml:space="preserve">Ocean Data Integrity &amp; Custody Standard</w:t>
      </w:r>
    </w:p>
    <w:p>
      <w:pPr>
        <w:spacing w:after="200"/>
      </w:pPr>
      <w:r>
        <w:t xml:space="preserve">This document is released as an open standard by Melon Robotics. Organizations may adopt, implement, and reference this standard. Commercial licensing for premium support, certification programs, and compliance verification services is available separately.</w:t>
      </w:r>
    </w:p>
    <w:p>
      <w:pPr>
        <w:spacing w:after="200"/>
      </w:pPr>
      <w:r>
        <w:t xml:space="preserve">Questions regarding this standard should be directed to the Standards Maintenance Authority. Proposed amendments should be submitted in accordance with the procedures specified in the Document Control section.</w:t>
      </w:r>
    </w:p>
    <w:p>
      <w:r>
        <w:br w:type="page"/>
      </w:r>
    </w:p>
    <w:p>
      <w:pPr>
        <w:pStyle w:val="Heading1"/>
        <w:spacing w:before="400" w:after="200"/>
      </w:pPr>
      <w:r>
        <w:rPr>
          <w:b/>
          <w:bCs/>
          <w:sz w:val="32"/>
          <w:szCs w:val="32"/>
        </w:rPr>
        <w:t xml:space="preserve">Appendix A: Compliance Checklist Summary</w:t>
      </w:r>
    </w:p>
    <w:p>
      <w:pPr>
        <w:spacing w:after="200"/>
      </w:pPr>
      <w:r>
        <w:t xml:space="preserve">The following summary is provided for convenience in compliance assessment. This appendix is informative, not normative; the requirements in the body of the standard govern in case of any discrepancy.</w:t>
      </w:r>
    </w:p>
    <w:p>
      <w:pPr>
        <w:pStyle w:val="Heading2"/>
        <w:spacing w:before="300" w:after="150"/>
      </w:pPr>
      <w:r>
        <w:rPr>
          <w:b/>
          <w:bCs/>
          <w:sz w:val="26"/>
          <w:szCs w:val="26"/>
        </w:rPr>
        <w:t xml:space="preserve">Section 1: Purpose and Scope</w:t>
      </w:r>
    </w:p>
    <w:p>
      <w:pPr>
        <w:pStyle w:val="ListParagraph"/>
        <w:numPr>
          <w:ilvl w:val="0"/>
          <w:numId w:val="2"/>
        </w:numPr>
      </w:pPr>
      <w:r>
        <w:t xml:space="preserve">All mandatory requirements implemented</w:t>
      </w:r>
    </w:p>
    <w:p>
      <w:pPr>
        <w:pStyle w:val="ListParagraph"/>
        <w:numPr>
          <w:ilvl w:val="0"/>
          <w:numId w:val="2"/>
        </w:numPr>
      </w:pPr>
      <w:r>
        <w:t xml:space="preserve">Compliance documentation maintained and available for audit</w:t>
      </w:r>
    </w:p>
    <w:p>
      <w:pPr>
        <w:pStyle w:val="ListParagraph"/>
        <w:numPr>
          <w:ilvl w:val="0"/>
          <w:numId w:val="2"/>
        </w:numPr>
      </w:pPr>
      <w:r>
        <w:t xml:space="preserve">Authorized parties defined for audit access</w:t>
      </w:r>
    </w:p>
    <w:p>
      <w:pPr>
        <w:pStyle w:val="Heading2"/>
        <w:spacing w:before="300" w:after="150"/>
      </w:pPr>
      <w:r>
        <w:rPr>
          <w:b/>
          <w:bCs/>
          <w:sz w:val="26"/>
          <w:szCs w:val="26"/>
        </w:rPr>
        <w:t xml:space="preserve">Section 3: Data Lifecycle</w:t>
      </w:r>
    </w:p>
    <w:p>
      <w:pPr>
        <w:pStyle w:val="ListParagraph"/>
        <w:numPr>
          <w:ilvl w:val="0"/>
          <w:numId w:val="2"/>
        </w:numPr>
      </w:pPr>
      <w:r>
        <w:t xml:space="preserve">Lifecycle stages documented for all data</w:t>
      </w:r>
    </w:p>
    <w:p>
      <w:pPr>
        <w:pStyle w:val="ListParagraph"/>
        <w:numPr>
          <w:ilvl w:val="0"/>
          <w:numId w:val="2"/>
        </w:numPr>
      </w:pPr>
      <w:r>
        <w:t xml:space="preserve">Single custodian designated for each data element</w:t>
      </w:r>
    </w:p>
    <w:p>
      <w:pPr>
        <w:pStyle w:val="ListParagraph"/>
        <w:numPr>
          <w:ilvl w:val="0"/>
          <w:numId w:val="2"/>
        </w:numPr>
      </w:pPr>
      <w:r>
        <w:t xml:space="preserve">Custody transfer procedures documented and followed</w:t>
      </w:r>
    </w:p>
    <w:p>
      <w:pPr>
        <w:pStyle w:val="ListParagraph"/>
        <w:numPr>
          <w:ilvl w:val="0"/>
          <w:numId w:val="2"/>
        </w:numPr>
      </w:pPr>
      <w:r>
        <w:t xml:space="preserve">No custody gaps exist</w:t>
      </w:r>
    </w:p>
    <w:p>
      <w:pPr>
        <w:pStyle w:val="Heading2"/>
        <w:spacing w:before="300" w:after="150"/>
      </w:pPr>
      <w:r>
        <w:rPr>
          <w:b/>
          <w:bCs/>
          <w:sz w:val="26"/>
          <w:szCs w:val="26"/>
        </w:rPr>
        <w:t xml:space="preserve">Section 4: Calibration</w:t>
      </w:r>
    </w:p>
    <w:p>
      <w:pPr>
        <w:pStyle w:val="ListParagraph"/>
        <w:numPr>
          <w:ilvl w:val="0"/>
          <w:numId w:val="2"/>
        </w:numPr>
      </w:pPr>
      <w:r>
        <w:t xml:space="preserve">All instruments calibrated per schedule</w:t>
      </w:r>
    </w:p>
    <w:p>
      <w:pPr>
        <w:pStyle w:val="ListParagraph"/>
        <w:numPr>
          <w:ilvl w:val="0"/>
          <w:numId w:val="2"/>
        </w:numPr>
      </w:pPr>
      <w:r>
        <w:t xml:space="preserve">Calibration traceability documented</w:t>
      </w:r>
    </w:p>
    <w:p>
      <w:pPr>
        <w:pStyle w:val="ListParagraph"/>
        <w:numPr>
          <w:ilvl w:val="0"/>
          <w:numId w:val="2"/>
        </w:numPr>
      </w:pPr>
      <w:r>
        <w:t xml:space="preserve">Calibration state recorded for all data</w:t>
      </w:r>
    </w:p>
    <w:p>
      <w:pPr>
        <w:pStyle w:val="ListParagraph"/>
        <w:numPr>
          <w:ilvl w:val="0"/>
          <w:numId w:val="2"/>
        </w:numPr>
      </w:pPr>
      <w:r>
        <w:t xml:space="preserve">Out-of-calibration data flagged appropriately</w:t>
      </w:r>
    </w:p>
    <w:p>
      <w:pPr>
        <w:pStyle w:val="Heading2"/>
        <w:spacing w:before="300" w:after="150"/>
      </w:pPr>
      <w:r>
        <w:rPr>
          <w:b/>
          <w:bCs/>
          <w:sz w:val="26"/>
          <w:szCs w:val="26"/>
        </w:rPr>
        <w:t xml:space="preserve">Section 5: Timestamps</w:t>
      </w:r>
    </w:p>
    <w:p>
      <w:pPr>
        <w:pStyle w:val="ListParagraph"/>
        <w:numPr>
          <w:ilvl w:val="0"/>
          <w:numId w:val="2"/>
        </w:numPr>
      </w:pPr>
      <w:r>
        <w:t xml:space="preserve">Time sources documented with accuracy specifications</w:t>
      </w:r>
    </w:p>
    <w:p>
      <w:pPr>
        <w:pStyle w:val="ListParagraph"/>
        <w:numPr>
          <w:ilvl w:val="0"/>
          <w:numId w:val="2"/>
        </w:numPr>
      </w:pPr>
      <w:r>
        <w:t xml:space="preserve">Timestamps in ISO 8601 format with timezone</w:t>
      </w:r>
    </w:p>
    <w:p>
      <w:pPr>
        <w:pStyle w:val="ListParagraph"/>
        <w:numPr>
          <w:ilvl w:val="0"/>
          <w:numId w:val="2"/>
        </w:numPr>
      </w:pPr>
      <w:r>
        <w:t xml:space="preserve">Time uncertainty recorded for all timestamps</w:t>
      </w:r>
    </w:p>
    <w:p>
      <w:pPr>
        <w:pStyle w:val="ListParagraph"/>
        <w:numPr>
          <w:ilvl w:val="0"/>
          <w:numId w:val="2"/>
        </w:numPr>
      </w:pPr>
      <w:r>
        <w:t xml:space="preserve">Degraded time sources documented and flagged</w:t>
      </w:r>
    </w:p>
    <w:p>
      <w:pPr>
        <w:pStyle w:val="Heading2"/>
        <w:spacing w:before="300" w:after="150"/>
      </w:pPr>
      <w:r>
        <w:rPr>
          <w:b/>
          <w:bCs/>
          <w:sz w:val="26"/>
          <w:szCs w:val="26"/>
        </w:rPr>
        <w:t xml:space="preserve">Section 6: Geospatial</w:t>
      </w:r>
    </w:p>
    <w:p>
      <w:pPr>
        <w:pStyle w:val="ListParagraph"/>
        <w:numPr>
          <w:ilvl w:val="0"/>
          <w:numId w:val="2"/>
        </w:numPr>
      </w:pPr>
      <w:r>
        <w:t xml:space="preserve">Coordinate reference system documented</w:t>
      </w:r>
    </w:p>
    <w:p>
      <w:pPr>
        <w:pStyle w:val="ListParagraph"/>
        <w:numPr>
          <w:ilvl w:val="0"/>
          <w:numId w:val="2"/>
        </w:numPr>
      </w:pPr>
      <w:r>
        <w:t xml:space="preserve">Position source attribution for all coordinates</w:t>
      </w:r>
    </w:p>
    <w:p>
      <w:pPr>
        <w:pStyle w:val="ListParagraph"/>
        <w:numPr>
          <w:ilvl w:val="0"/>
          <w:numId w:val="2"/>
        </w:numPr>
      </w:pPr>
      <w:r>
        <w:t xml:space="preserve">Confidence bounds recorded for all positions</w:t>
      </w:r>
    </w:p>
    <w:p>
      <w:pPr>
        <w:pStyle w:val="ListParagraph"/>
        <w:numPr>
          <w:ilvl w:val="0"/>
          <w:numId w:val="2"/>
        </w:numPr>
      </w:pPr>
      <w:r>
        <w:t xml:space="preserve">Degraded navigation documented and flagged</w:t>
      </w:r>
    </w:p>
    <w:p>
      <w:pPr>
        <w:pStyle w:val="Heading2"/>
        <w:spacing w:before="300" w:after="150"/>
      </w:pPr>
      <w:r>
        <w:rPr>
          <w:b/>
          <w:bCs/>
          <w:sz w:val="26"/>
          <w:szCs w:val="26"/>
        </w:rPr>
        <w:t xml:space="preserve">Section 7: Raw Data and Integrity</w:t>
      </w:r>
    </w:p>
    <w:p>
      <w:pPr>
        <w:pStyle w:val="ListParagraph"/>
        <w:numPr>
          <w:ilvl w:val="0"/>
          <w:numId w:val="2"/>
        </w:numPr>
      </w:pPr>
      <w:r>
        <w:t xml:space="preserve">Raw data preserved for all collections</w:t>
      </w:r>
    </w:p>
    <w:p>
      <w:pPr>
        <w:pStyle w:val="ListParagraph"/>
        <w:numPr>
          <w:ilvl w:val="0"/>
          <w:numId w:val="2"/>
        </w:numPr>
      </w:pPr>
      <w:r>
        <w:t xml:space="preserve">Cryptographic hashes computed at initial capture</w:t>
      </w:r>
    </w:p>
    <w:p>
      <w:pPr>
        <w:pStyle w:val="ListParagraph"/>
        <w:numPr>
          <w:ilvl w:val="0"/>
          <w:numId w:val="2"/>
        </w:numPr>
      </w:pPr>
      <w:r>
        <w:t xml:space="preserve">Hash verification performed per schedule</w:t>
      </w:r>
    </w:p>
    <w:p>
      <w:pPr>
        <w:pStyle w:val="ListParagraph"/>
        <w:numPr>
          <w:ilvl w:val="0"/>
          <w:numId w:val="2"/>
        </w:numPr>
      </w:pPr>
      <w:r>
        <w:t xml:space="preserve">No destructive overwriting of data</w:t>
      </w:r>
    </w:p>
    <w:p>
      <w:pPr>
        <w:pStyle w:val="Heading2"/>
        <w:spacing w:before="300" w:after="150"/>
      </w:pPr>
      <w:r>
        <w:rPr>
          <w:b/>
          <w:bCs/>
          <w:sz w:val="26"/>
          <w:szCs w:val="26"/>
        </w:rPr>
        <w:t xml:space="preserve">Section 8: Transformations</w:t>
      </w:r>
    </w:p>
    <w:p>
      <w:pPr>
        <w:pStyle w:val="ListParagraph"/>
        <w:numPr>
          <w:ilvl w:val="0"/>
          <w:numId w:val="2"/>
        </w:numPr>
      </w:pPr>
      <w:r>
        <w:t xml:space="preserve">Transformation registry maintained</w:t>
      </w:r>
    </w:p>
    <w:p>
      <w:pPr>
        <w:pStyle w:val="ListParagraph"/>
        <w:numPr>
          <w:ilvl w:val="0"/>
          <w:numId w:val="2"/>
        </w:numPr>
      </w:pPr>
      <w:r>
        <w:t xml:space="preserve">All transformations documented with parameters</w:t>
      </w:r>
    </w:p>
    <w:p>
      <w:pPr>
        <w:pStyle w:val="ListParagraph"/>
        <w:numPr>
          <w:ilvl w:val="0"/>
          <w:numId w:val="2"/>
        </w:numPr>
      </w:pPr>
      <w:r>
        <w:t xml:space="preserve">Human vs automated annotations distinguished</w:t>
      </w:r>
    </w:p>
    <w:p>
      <w:pPr>
        <w:pStyle w:val="ListParagraph"/>
        <w:numPr>
          <w:ilvl w:val="0"/>
          <w:numId w:val="2"/>
        </w:numPr>
      </w:pPr>
      <w:r>
        <w:t xml:space="preserve">Versioning implemented for all data</w:t>
      </w:r>
    </w:p>
    <w:p>
      <w:pPr>
        <w:pStyle w:val="Heading2"/>
        <w:spacing w:before="300" w:after="150"/>
      </w:pPr>
      <w:r>
        <w:rPr>
          <w:b/>
          <w:bCs/>
          <w:sz w:val="26"/>
          <w:szCs w:val="26"/>
        </w:rPr>
        <w:t xml:space="preserve">Section 9: Autonomous Systems</w:t>
      </w:r>
    </w:p>
    <w:p>
      <w:pPr>
        <w:pStyle w:val="ListParagraph"/>
        <w:numPr>
          <w:ilvl w:val="0"/>
          <w:numId w:val="2"/>
        </w:numPr>
      </w:pPr>
      <w:r>
        <w:t xml:space="preserve">Autonomous decisions logged with metadata</w:t>
      </w:r>
    </w:p>
    <w:p>
      <w:pPr>
        <w:pStyle w:val="ListParagraph"/>
        <w:numPr>
          <w:ilvl w:val="0"/>
          <w:numId w:val="2"/>
        </w:numPr>
      </w:pPr>
      <w:r>
        <w:t xml:space="preserve">Responsible parties designated before deployment</w:t>
      </w:r>
    </w:p>
    <w:p>
      <w:pPr>
        <w:pStyle w:val="ListParagraph"/>
        <w:numPr>
          <w:ilvl w:val="0"/>
          <w:numId w:val="2"/>
        </w:numPr>
      </w:pPr>
      <w:r>
        <w:t xml:space="preserve">Degraded autonomy documented and flagged</w:t>
      </w:r>
    </w:p>
    <w:p>
      <w:pPr>
        <w:pStyle w:val="ListParagraph"/>
        <w:numPr>
          <w:ilvl w:val="0"/>
          <w:numId w:val="2"/>
        </w:numPr>
      </w:pPr>
      <w:r>
        <w:t xml:space="preserve">Attribution ambiguity prevented</w:t>
      </w:r>
    </w:p>
    <w:p>
      <w:pPr>
        <w:pStyle w:val="Heading2"/>
        <w:spacing w:before="300" w:after="150"/>
      </w:pPr>
      <w:r>
        <w:rPr>
          <w:b/>
          <w:bCs/>
          <w:sz w:val="26"/>
          <w:szCs w:val="26"/>
        </w:rPr>
        <w:t xml:space="preserve">Section 10: Audit Trails</w:t>
      </w:r>
    </w:p>
    <w:p>
      <w:pPr>
        <w:pStyle w:val="ListParagraph"/>
        <w:numPr>
          <w:ilvl w:val="0"/>
          <w:numId w:val="2"/>
        </w:numPr>
      </w:pPr>
      <w:r>
        <w:t xml:space="preserve">Tamper-evident audit logs implemented</w:t>
      </w:r>
    </w:p>
    <w:p>
      <w:pPr>
        <w:pStyle w:val="ListParagraph"/>
        <w:numPr>
          <w:ilvl w:val="0"/>
          <w:numId w:val="2"/>
        </w:numPr>
      </w:pPr>
      <w:r>
        <w:t xml:space="preserve">All auditable events logged</w:t>
      </w:r>
    </w:p>
    <w:p>
      <w:pPr>
        <w:pStyle w:val="ListParagraph"/>
        <w:numPr>
          <w:ilvl w:val="0"/>
          <w:numId w:val="2"/>
        </w:numPr>
      </w:pPr>
      <w:r>
        <w:t xml:space="preserve">Access logging with separation of duties</w:t>
      </w:r>
    </w:p>
    <w:p>
      <w:pPr>
        <w:pStyle w:val="ListParagraph"/>
        <w:numPr>
          <w:ilvl w:val="0"/>
          <w:numId w:val="2"/>
        </w:numPr>
      </w:pPr>
      <w:r>
        <w:t xml:space="preserve">Transfer records complete for all data</w:t>
      </w:r>
    </w:p>
    <w:p>
      <w:pPr>
        <w:pStyle w:val="Heading2"/>
        <w:spacing w:before="300" w:after="150"/>
      </w:pPr>
      <w:r>
        <w:rPr>
          <w:b/>
          <w:bCs/>
          <w:sz w:val="26"/>
          <w:szCs w:val="26"/>
        </w:rPr>
        <w:t xml:space="preserve">Section 11: Breach Response</w:t>
      </w:r>
    </w:p>
    <w:p>
      <w:pPr>
        <w:pStyle w:val="ListParagraph"/>
        <w:numPr>
          <w:ilvl w:val="0"/>
          <w:numId w:val="2"/>
        </w:numPr>
      </w:pPr>
      <w:r>
        <w:t xml:space="preserve">Detection mechanisms implemented and tested</w:t>
      </w:r>
    </w:p>
    <w:p>
      <w:pPr>
        <w:pStyle w:val="ListParagraph"/>
        <w:numPr>
          <w:ilvl w:val="0"/>
          <w:numId w:val="2"/>
        </w:numPr>
      </w:pPr>
      <w:r>
        <w:t xml:space="preserve">Response timeline procedures documented</w:t>
      </w:r>
    </w:p>
    <w:p>
      <w:pPr>
        <w:pStyle w:val="ListParagraph"/>
        <w:numPr>
          <w:ilvl w:val="0"/>
          <w:numId w:val="2"/>
        </w:numPr>
      </w:pPr>
      <w:r>
        <w:t xml:space="preserve">Notification procedures and contacts maintained</w:t>
      </w:r>
    </w:p>
    <w:p>
      <w:pPr>
        <w:pStyle w:val="ListParagraph"/>
        <w:numPr>
          <w:ilvl w:val="0"/>
          <w:numId w:val="2"/>
        </w:numPr>
      </w:pPr>
      <w:r>
        <w:t xml:space="preserve">Quarantine and remediation procedures documented</w:t>
      </w:r>
    </w:p>
    <w:p>
      <w:pPr>
        <w:pStyle w:val="Heading2"/>
        <w:spacing w:before="300" w:after="150"/>
      </w:pPr>
      <w:r>
        <w:rPr>
          <w:b/>
          <w:bCs/>
          <w:sz w:val="26"/>
          <w:szCs w:val="26"/>
        </w:rPr>
        <w:t xml:space="preserve">Section 12: Retention</w:t>
      </w:r>
    </w:p>
    <w:p>
      <w:pPr>
        <w:pStyle w:val="ListParagraph"/>
        <w:numPr>
          <w:ilvl w:val="0"/>
          <w:numId w:val="2"/>
        </w:numPr>
      </w:pPr>
      <w:r>
        <w:t xml:space="preserve">Retention periods established and documented</w:t>
      </w:r>
    </w:p>
    <w:p>
      <w:pPr>
        <w:pStyle w:val="ListParagraph"/>
        <w:numPr>
          <w:ilvl w:val="0"/>
          <w:numId w:val="2"/>
        </w:numPr>
      </w:pPr>
      <w:r>
        <w:t xml:space="preserve">Archival system meets redundancy requirements</w:t>
      </w:r>
    </w:p>
    <w:p>
      <w:pPr>
        <w:pStyle w:val="ListParagraph"/>
        <w:numPr>
          <w:ilvl w:val="0"/>
          <w:numId w:val="2"/>
        </w:numPr>
      </w:pPr>
      <w:r>
        <w:t xml:space="preserve">Format migration procedures documented</w:t>
      </w:r>
    </w:p>
    <w:p>
      <w:pPr>
        <w:pStyle w:val="ListParagraph"/>
        <w:numPr>
          <w:ilvl w:val="0"/>
          <w:numId w:val="2"/>
        </w:numPr>
      </w:pPr>
      <w:r>
        <w:t xml:space="preserve">Disposal procedures include verification</w:t>
      </w:r>
    </w:p>
    <w:p>
      <w:pPr>
        <w:pStyle w:val="Heading2"/>
        <w:spacing w:before="300" w:after="150"/>
      </w:pPr>
      <w:r>
        <w:rPr>
          <w:b/>
          <w:bCs/>
          <w:sz w:val="26"/>
          <w:szCs w:val="26"/>
        </w:rPr>
        <w:t xml:space="preserve">Section 13: Verification</w:t>
      </w:r>
    </w:p>
    <w:p>
      <w:pPr>
        <w:pStyle w:val="ListParagraph"/>
        <w:numPr>
          <w:ilvl w:val="0"/>
          <w:numId w:val="2"/>
        </w:numPr>
      </w:pPr>
      <w:r>
        <w:t xml:space="preserve">Pre-mission readiness checks performed</w:t>
      </w:r>
    </w:p>
    <w:p>
      <w:pPr>
        <w:pStyle w:val="ListParagraph"/>
        <w:numPr>
          <w:ilvl w:val="0"/>
          <w:numId w:val="2"/>
        </w:numPr>
      </w:pPr>
      <w:r>
        <w:t xml:space="preserve">Post-mission verification completed</w:t>
      </w:r>
    </w:p>
    <w:p>
      <w:pPr>
        <w:pStyle w:val="ListParagraph"/>
        <w:numPr>
          <w:ilvl w:val="0"/>
          <w:numId w:val="2"/>
        </w:numPr>
      </w:pPr>
      <w:r>
        <w:t xml:space="preserve">Compliance evidence available for audit</w:t>
      </w:r>
    </w:p>
    <w:p>
      <w:pPr>
        <w:pStyle w:val="ListParagraph"/>
        <w:numPr>
          <w:ilvl w:val="0"/>
          <w:numId w:val="2"/>
        </w:numPr>
      </w:pPr>
      <w:r>
        <w:t xml:space="preserve">Audit cooperation procedures documented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ODICS-001 v1.1 | Ocean Data Integrity &amp; Custody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2026-01-30T07:20:44.791Z</dcterms:created>
  <dcterms:modified xsi:type="dcterms:W3CDTF">2026-01-30T07:20:44.792Z</dcterms:modified>
</cp:coreProperties>
</file>

<file path=docProps/custom.xml><?xml version="1.0" encoding="utf-8"?>
<Properties xmlns="http://schemas.openxmlformats.org/officeDocument/2006/custom-properties" xmlns:vt="http://schemas.openxmlformats.org/officeDocument/2006/docPropsVTypes"/>
</file>