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C2E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drawing>
          <wp:inline distT="0" distB="0" distL="0" distR="0" wp14:anchorId="233B88FB" wp14:editId="3E02C36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 w14:textId="77777777" w:rsidR="001B1B25" w:rsidRDefault="001B1B25" w:rsidP="001B1B25">
      <w:pPr>
        <w:spacing w:afterLines="100" w:after="312"/>
        <w:ind w:firstLineChars="47" w:firstLine="358"/>
        <w:rPr>
          <w:rFonts w:ascii="黑体" w:eastAsia="黑体" w:hAnsi="黑体" w:hint="eastAsia"/>
          <w:b/>
          <w:bCs/>
          <w:spacing w:val="100"/>
          <w:sz w:val="56"/>
          <w:szCs w:val="56"/>
        </w:rPr>
      </w:pPr>
    </w:p>
    <w:p w14:paraId="37F01396" w14:textId="102C2EAC" w:rsidR="00EA008F" w:rsidRPr="00EA008F" w:rsidRDefault="00EA008F" w:rsidP="00EA008F">
      <w:pPr>
        <w:spacing w:afterLines="100" w:after="312"/>
        <w:jc w:val="center"/>
        <w:rPr>
          <w:rFonts w:ascii="黑体" w:eastAsia="黑体" w:hAnsi="黑体"/>
          <w:b/>
          <w:bCs/>
          <w:spacing w:val="100"/>
          <w:sz w:val="48"/>
          <w:szCs w:val="48"/>
        </w:rPr>
      </w:pPr>
      <w:r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通用生成式大模型技术原理</w:t>
      </w:r>
    </w:p>
    <w:p w14:paraId="4295400C" w14:textId="1D571DC6" w:rsidR="001B1B25" w:rsidRPr="00EA008F" w:rsidRDefault="00EA008F" w:rsidP="00EA008F">
      <w:pPr>
        <w:spacing w:afterLines="100" w:after="312"/>
        <w:jc w:val="center"/>
        <w:rPr>
          <w:rFonts w:ascii="黑体" w:eastAsia="黑体" w:hAnsi="黑体" w:hint="eastAsia"/>
          <w:b/>
          <w:bCs/>
          <w:spacing w:val="300"/>
          <w:sz w:val="48"/>
          <w:szCs w:val="48"/>
        </w:rPr>
      </w:pPr>
      <w:r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项目设计</w:t>
      </w:r>
      <w:r w:rsidR="001B1B25"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文档</w:t>
      </w:r>
    </w:p>
    <w:p w14:paraId="72C6EE37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26E344B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D8F82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B531B5" w14:textId="570EDC2B" w:rsidR="001B1B25" w:rsidRDefault="00B853C2" w:rsidP="00CF6EAB">
      <w:pPr>
        <w:spacing w:before="100" w:beforeAutospacing="1" w:after="100" w:afterAutospacing="1" w:line="400" w:lineRule="exact"/>
        <w:ind w:firstLineChars="605" w:firstLine="170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项目题目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>：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>会务智策活动运营工作台</w:t>
      </w:r>
      <w:r w:rsidR="00CF6EAB">
        <w:rPr>
          <w:rFonts w:ascii="Times New Roman" w:hAnsi="Times New Roman"/>
          <w:b/>
          <w:bCs/>
          <w:sz w:val="28"/>
          <w:szCs w:val="28"/>
          <w:u w:val="single"/>
        </w:rPr>
        <w:t/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/>
      </w:r>
      <w:r w:rsidR="001B1B25"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</w:p>
    <w:p w14:paraId="1D194A40" w14:textId="4E79EEBE" w:rsidR="001B1B25" w:rsidRDefault="00B853C2" w:rsidP="00CF6EAB">
      <w:pPr>
        <w:spacing w:before="100" w:beforeAutospacing="1" w:after="100" w:afterAutospacing="1" w:line="400" w:lineRule="exact"/>
        <w:ind w:firstLineChars="605" w:firstLine="170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小组成员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>：</w:t>
      </w:r>
      <w:r w:rsidR="001B1B25"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 w:rsidR="001B1B25" w:rsidRP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 w:rsidR="001B1B25">
        <w:rPr>
          <w:rFonts w:ascii="Times New Roman" w:hAnsi="Times New Roman" w:hint="eastAsia"/>
          <w:b/>
          <w:bCs/>
          <w:sz w:val="28"/>
          <w:szCs w:val="28"/>
          <w:u w:val="single"/>
        </w:rPr>
        <w:t>______________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/>
      </w:r>
      <w:r w:rsidR="00CF6EAB">
        <w:rPr>
          <w:rFonts w:ascii="Times New Roman" w:hAnsi="Times New Roman"/>
          <w:b/>
          <w:bCs/>
          <w:sz w:val="28"/>
          <w:szCs w:val="28"/>
          <w:u w:val="single"/>
        </w:rPr>
        <w:t/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/>
      </w:r>
      <w:r w:rsidR="00CF6EAB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  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</w:p>
    <w:p w14:paraId="0004C02A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 w14:textId="436C2AE4" w:rsidR="001B1B25" w:rsidRPr="00CF6EAB" w:rsidRDefault="001B1B25" w:rsidP="001B1B25">
      <w:pPr>
        <w:widowControl/>
        <w:jc w:val="left"/>
        <w:rPr>
          <w:rFonts w:ascii="黑体" w:eastAsia="黑体" w:hAnsi="黑体" w:hint="eastAsia"/>
          <w:bCs/>
          <w:kern w:val="44"/>
          <w:sz w:val="28"/>
          <w:szCs w:val="28"/>
        </w:rPr>
      </w:pPr>
      <w:r>
        <w:rPr>
          <w:rFonts w:ascii="黑体" w:eastAsia="黑体" w:hAnsi="黑体"/>
          <w:bCs/>
          <w:noProof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E0A94" wp14:editId="34B874EE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7F3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left:0;text-align:left;margin-left:132.85pt;margin-top:26.45pt;width:203.7pt;height:2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"/>
            </w:pict>
          </mc:Fallback>
        </mc:AlternateConten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   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完成时间  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 xml:space="preserve"> 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>202</w:t>
      </w:r>
      <w:r w:rsidR="00EA008F" w:rsidRPr="00CF6EAB">
        <w:rPr>
          <w:rFonts w:ascii="黑体" w:eastAsia="黑体" w:hAnsi="黑体" w:hint="eastAsia"/>
          <w:bCs/>
          <w:kern w:val="44"/>
          <w:sz w:val="28"/>
          <w:szCs w:val="28"/>
        </w:rPr>
        <w:t>6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 xml:space="preserve">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年  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>10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  月</w:t>
      </w:r>
    </w:p>
    <w:p w14:paraId="27F645CC" w14:textId="3CB246BA" w:rsidR="001B1B25" w:rsidRDefault="001B1B25">
      <w:pPr>
        <w:widowControl/>
        <w:jc w:val="left"/>
        <w:rPr>
          <w:rFonts w:hint="eastAsia"/>
        </w:rPr>
      </w:pPr>
      <w:r>
        <w:br w:type="page"/>
      </w:r>
    </w:p>
    <w:p w14:paraId="7C1F207B" w14:textId="52275CED" w:rsidR="001B1B25" w:rsidRDefault="00CF6EAB" w:rsidP="005A2D41">
      <w:pPr>
        <w:pStyle w:val="1"/>
        <w:rPr>
          <w:rFonts w:hint="eastAsia"/>
        </w:rPr>
      </w:pPr>
      <w:r>
        <w:rPr>
          <w:rFonts w:hint="eastAsia"/>
        </w:rPr>
        <w:lastRenderedPageBreak/>
        <w:t>一</w:t>
      </w:r>
      <w:r w:rsidR="00EA008F">
        <w:rPr>
          <w:rFonts w:hint="eastAsia"/>
        </w:rPr>
        <w:t>、项目概述</w:t>
      </w:r>
    </w:p>
    <w:p w14:paraId="1ECF34A7" w14:textId="607A4A4B" w:rsidR="001B1B25" w:rsidRDefault="00CF6EAB" w:rsidP="005A2D41">
      <w:pPr>
        <w:pStyle w:val="2"/>
      </w:pPr>
      <w:r>
        <w:rPr>
          <w:rFonts w:hint="eastAsia"/>
        </w:rPr>
        <w:t>1</w:t>
      </w:r>
      <w:r w:rsidR="00EA008F">
        <w:rPr>
          <w:rFonts w:hint="eastAsia"/>
        </w:rPr>
        <w:t xml:space="preserve">.1 </w:t>
      </w:r>
      <w:r w:rsidR="00EA008F" w:rsidRPr="00EA008F">
        <w:t>项目背景与意义</w:t>
      </w:r>
    </w:p>
    <w:p>
      <w:pPr>
        <w:spacing w:line="400" w:lineRule="exact"/>
      </w:pPr>
      <w:r>
        <w:t xml:space="preserve">会务智策面向校园社团、学生组织和小型活动团队，提供围绕同一活动的筹备工作台。用户录入活动要求和场地资料后，可以查询原文依据、生成筹备草案，并继续管理任务、核算费用、审阅方案和导出交接文件。项目把大模型生成放入具体业务过程，关注内容能否核对、任务能否继续修改、费用能否独立复算。</w:t>
      </w:r>
    </w:p>
    <w:p>
      <w:pPr>
        <w:spacing w:line="400" w:lineRule="exact"/>
      </w:pPr>
      <w:r>
        <w:t xml:space="preserve">组织者筹备一场校园分享会时，需要同时处理场地规则、参与人数、日程、宣传、物料和现场分工。只生成一段策划文字，仍然需要人工转录成任务和费用表。若活动日期或人数改变，不同文档还可能继续使用旧信息。因此，本项目选择“同一份活动上下文”作为功能之间的连接点，而不把多个互不相关的生成入口拼在一起。</w:t>
      </w:r>
    </w:p>
    <w:p>
      <w:pPr>
        <w:spacing w:line="400" w:lineRule="exact"/>
      </w:pPr>
      <w:r>
        <w:t xml:space="preserve">大模型可以协助起草，但无法自行确认学校审批、场地预约、讲者到场或物料报价。会务智策将资料问答、结构化状态和确定性计算结合：有来源的回答允许回看原文，预算由程序核算，生成结果保留模式标记，活动安排由组织者确认。模型不直接对外发布消息，也不获得任意执行数据库操作的权限。</w:t>
      </w:r>
    </w:p>
    <w:p>
      <w:pPr>
        <w:spacing w:line="400" w:lineRule="exact"/>
      </w:pPr>
      <w:r>
        <w:t xml:space="preserve">项目的实际应用方向是小型组织中重复发生的活动筹备与交接。当前交付定位为本机运行的课程原型，使用明确标注的虚构教学资料展示完整流程。原型具备继续试用和扩展的基础，但本次没有真实组织试点、用户访谈或效率提升对比，不能据此声称已经形成商业成效。</w:t>
      </w:r>
    </w:p>
    <w:p w14:paraId="7C1EED2F" w14:textId="4772D50C" w:rsidR="00EA008F" w:rsidRDefault="00CF6EAB" w:rsidP="005A2D41">
      <w:pPr>
        <w:pStyle w:val="2"/>
      </w:pPr>
      <w:r>
        <w:rPr>
          <w:rFonts w:hint="eastAsia"/>
        </w:rPr>
        <w:t>1</w:t>
      </w:r>
      <w:r w:rsidR="00EA008F">
        <w:rPr>
          <w:rFonts w:hint="eastAsia"/>
        </w:rPr>
        <w:t xml:space="preserve">.2 </w:t>
      </w:r>
      <w:r w:rsidR="00EA008F" w:rsidRPr="00EA008F">
        <w:t>项目目标</w:t>
      </w:r>
    </w:p>
    <w:p>
      <w:pPr>
        <w:spacing w:line="400" w:lineRule="exact"/>
      </w:pPr>
      <w:r>
        <w:t xml:space="preserve">本项目的目标是完成一个可实际操作的大模型应用，而非仅展示一段提示词。以虚构的“校园AI创意分享会”为贯穿场景，用户能够建立活动信息、整理资料、获取有依据的回答、生成方案、落实任务与预算，最终形成可交接的文件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0"/>
        <w:gridCol w:w="3150"/>
        <w:gridCol w:w="3406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目标</w:t>
            </w:r>
          </w:p>
        </w:tc>
        <w:tc>
          <w:tcPr>
            <w:tcW w:w="31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具体实现</w:t>
            </w:r>
          </w:p>
        </w:tc>
        <w:tc>
          <w:tcPr>
            <w:tcW w:w="3406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检查方式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功能连贯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活动信息、资料库、问答、策划、日程、任务、预算、风险、宣传、审阅与导出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从新建资料到导出的连续界面操作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信息可核对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回答带原文摘录，结果区显示模型或规则模式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对照资料、输出与模式字段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状态可保留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业务数据存入SQLite，修改后重新读取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刷新和接口读取检查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便于本地演示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前端构建产物随源码交付，Python启动同源服务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按说明在本机启动与访问</w:t>
            </w:r>
          </w:p>
        </w:tc>
      </w:tr>
    </w:tbl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上述目标通过十一项业务功能共同完成。资料库与问答解决事实定位，策划、日程和风险预案支持准备，任务与预算支持落实，宣传提供可编辑初稿，审阅与导出支持交接。各模块读取同一个项目，减少重复录入，也使组织者能够发现资料与方案之间的缺口。</w:t>
      </w:r>
    </w:p>
    <w:p w14:paraId="4D6D5AC6" w14:textId="69B10776" w:rsidR="001B1B25" w:rsidRDefault="00CF6EAB" w:rsidP="005A2D41">
      <w:pPr>
        <w:pStyle w:val="1"/>
      </w:pPr>
      <w:r>
        <w:rPr>
          <w:rFonts w:hint="eastAsia"/>
        </w:rPr>
        <w:t>二</w:t>
      </w:r>
      <w:r w:rsidR="00EA008F">
        <w:rPr>
          <w:rFonts w:hint="eastAsia"/>
        </w:rPr>
        <w:t>、</w:t>
      </w:r>
      <w:r w:rsidR="00EA008F" w:rsidRPr="00EA008F">
        <w:rPr>
          <w:rFonts w:hint="eastAsia"/>
        </w:rPr>
        <w:t>相关工作与技术选型</w:t>
      </w:r>
    </w:p>
    <w:p w14:paraId="60775A50" w14:textId="681C8FF2" w:rsidR="00EA008F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.1 </w:t>
      </w:r>
      <w:r w:rsidR="00EA008F" w:rsidRPr="00EA008F">
        <w:t>核心大模型介绍</w:t>
      </w:r>
    </w:p>
    <w:p>
      <w:pPr>
        <w:spacing w:line="400" w:lineRule="exact"/>
      </w:pPr>
      <w:r>
        <w:t xml:space="preserve">本项目通过TokenDance服务接入大语言模型，配置的服务模型ID为deepseek-v4.1-flash。这个ID用于网关请求与本轮实测记录，不据此推断模型参数量、训练数据、上下文规模或其他官方同名模型的能力。项目没有训练或微调模型，主要工作是应用流程、请求组织和结果核对。</w:t>
      </w:r>
    </w:p>
    <w:p>
      <w:pPr>
        <w:spacing w:line="400" w:lineRule="exact"/>
      </w:pPr>
      <w:r>
        <w:t xml:space="preserve">生成请求采用OpenAI兼容的Chat Completions消息格式。DeepSeek官方入门文档说明其API支持兼容格式，TokenDance公开索引也提供对应协议入口。实际请求发送到本机配置的TokenDance地址，接口兼容不代表不同供应商的输出、费用与服务质量相同。是否可用仍需由本轮真实响应确认。[1][2]</w:t>
      </w:r>
    </w:p>
    <w:p>
      <w:pPr>
        <w:spacing w:line="400" w:lineRule="exact"/>
      </w:pPr>
      <w:r>
        <w:t xml:space="preserve">模型用于活动策划、日程、风险、宣传和审阅等文本任务。服务端按任务类型组织规则、活动字段、资料与补充要求，并为任务生成定义结构化字段。问答入口先寻找资料证据，没有足够证据时明确说明缺失，不要求模型补齐未知事实。</w:t>
      </w:r>
    </w:p>
    <w:p>
      <w:pPr>
        <w:spacing w:line="400" w:lineRule="exact"/>
      </w:pPr>
      <w:r>
        <w:t xml:space="preserve">服务端分别提供真实模型模式和规则模式。真实调用失败时向界面返回可读错误，不能把规则文本伪装成模型成功。密钥只由后端从本机环境配置读取，浏览器和导出文件均不包含密钥。示例活动的嘉宾、审批与费用只能作为待确认信息，生成流畅不等于安排已经落实。</w:t>
      </w:r>
    </w:p>
    <w:p w14:paraId="0A2E63D2" w14:textId="4D68159A" w:rsidR="001B1B25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.2 </w:t>
      </w:r>
      <w:r w:rsidR="00EA008F" w:rsidRPr="00EA008F">
        <w:t>相关</w:t>
      </w:r>
      <w:r w:rsidR="00EA008F">
        <w:rPr>
          <w:rFonts w:hint="eastAsia"/>
        </w:rPr>
        <w:t>应用</w:t>
      </w:r>
      <w:r w:rsidR="00EA008F" w:rsidRPr="00EA008F">
        <w:t>分析</w:t>
      </w:r>
    </w:p>
    <w:p>
      <w:pPr>
        <w:spacing w:line="400" w:lineRule="exact"/>
      </w:pPr>
      <w:r>
        <w:t xml:space="preserve">本项目参考了对话式生成工具、任务管理工具和文档表格的常见工作方式。以下比较围绕本课程需要完成的操作展开，属于功能层面的设计分析，不代表对某个商业产品的全面评测，也不引用未经调查的行业效率或市场规模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0"/>
        <w:gridCol w:w="3150"/>
        <w:gridCol w:w="3406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工作方式</w:t>
            </w:r>
          </w:p>
        </w:tc>
        <w:tc>
          <w:tcPr>
            <w:tcW w:w="31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适合处理的内容</w:t>
            </w:r>
          </w:p>
        </w:tc>
        <w:tc>
          <w:tcPr>
            <w:tcW w:w="3406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本项目关注的衔接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通用对话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提纲、改写、开放式建议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把文字转成可继续修改的业务结果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任务管理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负责人、日期与进度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由活动上下文辅助生成初始任务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文档与表格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正式记录、明细计算与交接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在生成与导出间保持字段一致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会务智策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同一活动中的筹备、执行与交接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还需补充组织权限与真实场景试用</w:t>
            </w:r>
          </w:p>
        </w:tc>
      </w:tr>
    </w:tbl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资料问答采用先检索、后回答的基本流程，但当前检索是词面匹配，不使用向量嵌入、向量数据库或语义重排。词面检索部署成本低，便于在较少的文本资料中展示出处；遇到近义表达、缩写或隐含条件时可能漏检。因此，项目将引用原文和证据不足提示作为用户界面的一部分。</w:t>
      </w:r>
    </w:p>
    <w:p>
      <w:pPr>
        <w:spacing w:line="400" w:lineRule="exact"/>
      </w:pPr>
      <w:r>
        <w:t xml:space="preserve">本项目的差异主要在流程组织：活动字段在模块间共享，任务与费用是显式数据，资料来源和运行模式可见，结果能带入已有文档工具继续处理。这是应用设计与实现的贡献，不构成对模型算法的新方法声明。</w:t>
      </w:r>
    </w:p>
    <w:p w14:paraId="3606AD5F" w14:textId="150CED4A" w:rsidR="00EA008F" w:rsidRPr="00EA008F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.3 </w:t>
      </w:r>
      <w:r w:rsidR="00EA008F" w:rsidRPr="00EA008F">
        <w:t>技术栈与工具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0"/>
        <w:gridCol w:w="3150"/>
        <w:gridCol w:w="3406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层次</w:t>
            </w:r>
          </w:p>
        </w:tc>
        <w:tc>
          <w:tcPr>
            <w:tcW w:w="31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工具与技术</w:t>
            </w:r>
          </w:p>
        </w:tc>
        <w:tc>
          <w:tcPr>
            <w:tcW w:w="3406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职责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前端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React、TypeScript、Vite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组件化工作区、交互状态与静态构建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后端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Python标准库HTTP服务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同源接口、参数校验、模型调用与文件导出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数据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SQLite、sqlite3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活动、资料、任务、预算和输出持久化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模型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TokenDance兼容接口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按任务组织消息并读取生成内容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交换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JSON、Markdown、CSV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状态读取、方案交接与任务清单复用</w:t>
            </w:r>
          </w:p>
        </w:tc>
      </w:tr>
    </w:tbl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React官方文档把界面组织为可组合的组件，适合复用表单、结果区、模式提示和导航。TypeScript用于表达前后端共享的数据字段，帮助在编写阶段发现类型不一致；类型约束不能替代运行时校验，后端仍需检查输入。Vite官方文档说明build命令生成可由静态服务提供的产物。[3][4]</w:t>
      </w:r>
    </w:p>
    <w:p>
      <w:pPr>
        <w:spacing w:line="400" w:lineRule="exact"/>
      </w:pPr>
      <w:r>
        <w:t xml:space="preserve">交付包保留前端源代码与构建后的static资源。日常演示只需在可用的Python环境中启动server.py，再访问本地地址；修改前端后重新构建才需要Node.js及前端依赖。浏览器通过同源HTTP读取状态和提交变更，模型密钥不会进入前端构建。</w:t>
      </w:r>
    </w:p>
    <w:p>
      <w:pPr>
        <w:spacing w:line="400" w:lineRule="exact"/>
      </w:pPr>
      <w:r>
        <w:t xml:space="preserve">SQLite无需独立数据库服务进程，Python的sqlite3模块可直接读写本地数据库，适合本机课程原型。[5] 当前设计没有组织账户、细粒度授权或实时协作。Python官方还明确提示http.server只提供基础安全检查，不建议直接用于生产；公开部署需更换合适的服务架构并补充认证、传输保护与备份。[6]</w:t>
      </w:r>
    </w:p>
    <w:p>
      <w:pPr>
        <w:spacing w:line="400" w:lineRule="exact"/>
      </w:pPr>
      <w:r>
        <w:t xml:space="preserve">[1] </w:t>
      </w:r>
      <w:hyperlink r:id="rIdCitation1">
        <w:r>
          <w:rPr>
            <w:color w:val="000000"/>
            <w:u w:val="single"/>
          </w:rPr>
          <w:t>DeepSeek 首次调用API</w:t>
        </w:r>
      </w:hyperlink>
    </w:p>
    <w:p>
      <w:pPr>
        <w:spacing w:line="400" w:lineRule="exact"/>
      </w:pPr>
      <w:r>
        <w:t xml:space="preserve">[2] </w:t>
      </w:r>
      <w:hyperlink r:id="rIdCitation2">
        <w:r>
          <w:rPr>
            <w:color w:val="000000"/>
            <w:u w:val="single"/>
          </w:rPr>
          <w:t>TokenDance Documentation Index</w:t>
        </w:r>
      </w:hyperlink>
    </w:p>
    <w:p>
      <w:pPr>
        <w:spacing w:line="400" w:lineRule="exact"/>
      </w:pPr>
      <w:r>
        <w:t xml:space="preserve">[3] </w:t>
      </w:r>
      <w:hyperlink r:id="rIdCitation3">
        <w:r>
          <w:rPr>
            <w:color w:val="000000"/>
            <w:u w:val="single"/>
          </w:rPr>
          <w:t>React Describing the UI</w:t>
        </w:r>
      </w:hyperlink>
    </w:p>
    <w:p>
      <w:pPr>
        <w:spacing w:line="400" w:lineRule="exact"/>
      </w:pPr>
      <w:r>
        <w:t xml:space="preserve">[4] </w:t>
      </w:r>
      <w:hyperlink r:id="rIdCitation4">
        <w:r>
          <w:rPr>
            <w:color w:val="000000"/>
            <w:u w:val="single"/>
          </w:rPr>
          <w:t>Vite Building for Production</w:t>
        </w:r>
      </w:hyperlink>
    </w:p>
    <w:p>
      <w:pPr>
        <w:spacing w:line="400" w:lineRule="exact"/>
      </w:pPr>
      <w:r>
        <w:t xml:space="preserve">[5] </w:t>
      </w:r>
      <w:hyperlink r:id="rIdCitation5">
        <w:r>
          <w:rPr>
            <w:color w:val="000000"/>
            <w:u w:val="single"/>
          </w:rPr>
          <w:t>Python sqlite3</w:t>
        </w:r>
      </w:hyperlink>
    </w:p>
    <w:p>
      <w:pPr>
        <w:spacing w:line="400" w:lineRule="exact"/>
      </w:pPr>
      <w:r>
        <w:t xml:space="preserve">[6] </w:t>
      </w:r>
      <w:hyperlink r:id="rIdCitation6">
        <w:r>
          <w:rPr>
            <w:color w:val="000000"/>
            <w:u w:val="single"/>
          </w:rPr>
          <w:t>Python http.server</w:t>
        </w:r>
      </w:hyperlink>
    </w:p>
    <w:p w14:paraId="085BE30E" w14:textId="6289132F" w:rsidR="001B1B25" w:rsidRDefault="00CF6EAB" w:rsidP="005A2D41">
      <w:pPr>
        <w:pStyle w:val="1"/>
        <w:rPr>
          <w:rFonts w:hint="eastAsia"/>
        </w:rPr>
      </w:pPr>
      <w:r>
        <w:rPr>
          <w:rFonts w:hint="eastAsia"/>
        </w:rPr>
        <w:lastRenderedPageBreak/>
        <w:t>三</w:t>
      </w:r>
      <w:r w:rsidR="001B1B25" w:rsidRPr="001B1B25">
        <w:rPr>
          <w:rFonts w:hint="eastAsia"/>
        </w:rPr>
        <w:t>、</w:t>
      </w:r>
      <w:r w:rsidR="005A2D41" w:rsidRPr="005A2D41">
        <w:rPr>
          <w:rFonts w:hint="eastAsia"/>
        </w:rPr>
        <w:t>系统设计与实现</w:t>
      </w:r>
    </w:p>
    <w:p w14:paraId="549004FA" w14:textId="24B76CDC" w:rsidR="009F54BD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.1 </w:t>
      </w:r>
      <w:r w:rsidR="005A2D41" w:rsidRPr="005A2D41">
        <w:t>系统架构图</w:t>
      </w:r>
    </w:p>
    <w:p>
      <w:pPr>
        <w:spacing w:line="400" w:lineRule="exact"/>
      </w:pPr>
      <w:r>
        <w:t xml:space="preserve">系统按浏览器交互、业务规则、数据存储和模型适配分层。前端负责展示和用户输入，后端负责校验、确定性计算、持久化与请求组织，SQLite保存当前活动状态。真实模型是可配置的外部服务，规则模式提供无密钥运行路径。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3177311"/>
            <wp:effectExtent l="0" t="0" r="0" b="0"/>
            <wp:docPr id="201" name="图1 会务智策系统架构与数据流" descr="图1 会务智策系统架构与数据流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1" name="architecture.png"/>
                    <ns4:cNvPicPr/>
                  </ns4:nvPicPr>
                  <ns4:blipFill>
                    <ns3:blip r:embed="rIdCourse20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3177311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图1 会务智策系统架构与数据流</w:t>
      </w:r>
    </w:p>
    <w:p>
      <w:pPr>
        <w:spacing w:line="400" w:lineRule="exact"/>
      </w:pPr>
      <w:r>
        <w:t xml:space="preserve">问答流程首先读取资料并匹配相关片段；证据不足则返回明确提示，有证据时再组织回答，并将来源名称与摘录一同返回。生成流程按照策划、日程、任务、风险、宣传或审阅的任务类型组织当前项目资料；不同入口共用项目状态，但输出要求各不相同。</w:t>
      </w:r>
    </w:p>
    <w:p>
      <w:pPr>
        <w:spacing w:line="400" w:lineRule="exact"/>
      </w:pPr>
      <w:r>
        <w:t xml:space="preserve">GET /api/state返回project、documents、tasks、budget、outputs、activity与settings。多数增删改操作完成后返回完整新状态，使页面能够直接刷新显示；问答单独返回答案、引用和来源模式。服务端错误采用明确HTTP状态及error字段，避免把失败结果当成成功内容保存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0"/>
        <w:gridCol w:w="3150"/>
        <w:gridCol w:w="3406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接口组</w:t>
            </w:r>
          </w:p>
        </w:tc>
        <w:tc>
          <w:tcPr>
            <w:tcW w:w="31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代表路径</w:t>
            </w:r>
          </w:p>
        </w:tc>
        <w:tc>
          <w:tcPr>
            <w:tcW w:w="3406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作用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活动与资料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/api/project、/api/documents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维护活动约束与事实资料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问答与生成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/api/ask、/api/generate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返回引用回答或保存指定草案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执行与费用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/api/tasks、/api/budget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更新任务并重新计算预算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读取与交接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/api/state、/api/export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恢复项目状态并下载文件</w:t>
            </w:r>
          </w:p>
        </w:tc>
      </w:tr>
    </w:tbl>
    <w:p>
      <w:pPr>
        <w:spacing w:line="400" w:lineRule="exact"/>
      </w:pPr>
      <w:r>
        <w:t xml:space="preserve"/>
      </w:r>
    </w:p>
    <w:p w14:paraId="265D240A" w14:textId="18D177D2" w:rsidR="005A2D41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.2 </w:t>
      </w:r>
      <w:r w:rsidR="005A2D41" w:rsidRPr="005A2D41">
        <w:t>核心功能模块详解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3.2.1 活动信息与资料库</w:t>
      </w:r>
    </w:p>
    <w:p>
      <w:pPr>
        <w:spacing w:line="400" w:lineRule="exact"/>
      </w:pPr>
      <w:r>
        <w:t xml:space="preserve">活动信息包含名称、参与对象、日期、地点、人数、预算上限和目标。统一字段为问答与生成提供上下文。资料库以名称、正文和录入时间保存文本，支持查看、新增与删除。当前能力限于文本资料，不宣称具备PDF解析、OCR或多模态理解。资料修改后，组织者应重新核对相关输出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3.2.2 带原文引用的问答</w:t>
      </w:r>
    </w:p>
    <w:p>
      <w:pPr>
        <w:spacing w:line="400" w:lineRule="exact"/>
      </w:pPr>
      <w:r>
        <w:t xml:space="preserve">用户提出问题后，后端按词面相关性寻找资料片段，并返回资料ID、标题和摘录。界面把答案与来源放在一起，允许展开原文。对于资料未提供的姓名、联系方式或审批状态，应明确说明信息不足。带引用仍可能存在误读，使用者需要检查摘录是否支持答案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3.2.3 活动策划与日程编排</w:t>
      </w:r>
    </w:p>
    <w:p>
      <w:pPr>
        <w:spacing w:line="400" w:lineRule="exact"/>
      </w:pPr>
      <w:r>
        <w:t xml:space="preserve">策划入口根据活动目标、对象和约束生成准备事项与流程草案。日程入口进一步形成时间与环节安排，用户可补充形式和注意事项。二者均保留在当前活动下，便于后续审阅。生成内容不会自动预约场地、写入日历或通知人员，真实时间冲突仍需组织者确认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3.2.4 执行任务看板</w:t>
      </w:r>
    </w:p>
    <w:p>
      <w:pPr>
        <w:spacing w:line="400" w:lineRule="exact"/>
      </w:pPr>
      <w:r>
        <w:t xml:space="preserve">任务包含标题、职能负责人、截止日期和待办、进行中、已完成状态。用户可添加、编辑、删除、搜索和调整状态，也可由生成入口建议初始任务。生成任务经过结构与字段校验后追加，并按规范化标题去重，避免重复生成覆盖已有进度。负责人只表示项目中的记录，不代表相应人员已经收到通知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3.2.5 费用预算与超支检查</w:t>
      </w:r>
    </w:p>
    <w:p>
      <w:pPr>
        <w:spacing w:line="400" w:lineRule="exact"/>
      </w:pPr>
      <w:r>
        <w:t xml:space="preserve">预算由费用名称、整数数量、单价和预备金比例组成。后端使用Decimal执行金额运算，再返回小计、预备金、总额与余额。模型可以提出费用类别建议，但展示总额来自业务计算。服务端拒绝负数、非有限数等无效输入，前端同时提供输入反馈。</w:t>
      </w:r>
    </w:p>
    <w:p>
      <w:pPr>
        <w:spacing w:line="400" w:lineRule="exact"/>
      </w:pPr>
      <w:r>
        <w:t xml:space="preserve">设第i项数量为qᵢ、单价为pᵢ，预备金比例为r，预算上限为B，则直接费用S＝Σ(qᵢ×pᵢ)，预备金R＝S×r，总额T＝S＋R，余额U＝B－T。余额小于零表示计划超支。预算是筹备估算，不能作为真实报价、支出记录或报销凭证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3.2.6 风险预案与宣传文案</w:t>
      </w:r>
    </w:p>
    <w:p>
      <w:pPr>
        <w:spacing w:line="400" w:lineRule="exact"/>
      </w:pPr>
      <w:r>
        <w:t xml:space="preserve">风险入口围绕人员、场地、设备、时间和费用提出检查建议与应对方式。宣传入口把当前活动信息组织成可修改的传播文字。两类结果都依赖资料完整性：未确定的讲者、报名链接或审批应保留待确认标记。系统只生成草稿，不发布到社交平台，也不替代管理部门审批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3.2.7 方案审阅与成果导出</w:t>
      </w:r>
    </w:p>
    <w:p>
      <w:pPr>
        <w:spacing w:line="400" w:lineRule="exact"/>
      </w:pPr>
      <w:r>
        <w:t xml:space="preserve">审阅入口结合项目、资料、任务、预算和已有结果，提示信息缺失与执行风险。导出提供Markdown方案、JSON项目数据及CSV任务清单，支持继续编辑、备份和交接。预算包含在Markdown与JSON中。导出的是当前已保存状态，组织者应先保存修改，再核对文件内容。服务端配置与密钥不包含在导出内容中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3.2.8 模型请求与内容显示</w:t>
      </w:r>
    </w:p>
    <w:p>
      <w:pPr>
        <w:spacing w:line="400" w:lineRule="exact"/>
      </w:pPr>
      <w:r>
        <w:t xml:space="preserve">生成提示按任务区分角色规则、活动事实和用户补充要求，资料文字始终作为待分析数据。页面明确区分等待、成功和失败，避免长调用时重复点击造成误解。资料和模型输出均视为不可信内容，Markdown展示需要限制原始HTML及危险链接。上述措施减少明显风险，但不能证明所有提示注入与错误输出均被消除。</w:t>
      </w:r>
    </w:p>
    <w:p w14:paraId="583EECF7" w14:textId="7211A892" w:rsidR="005A2D41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.3 </w:t>
      </w:r>
      <w:r w:rsidR="005A2D41" w:rsidRPr="005A2D41">
        <w:t>用户界面展示</w:t>
      </w:r>
    </w:p>
    <w:p>
      <w:pPr>
        <w:spacing w:line="400" w:lineRule="exact"/>
      </w:pPr>
      <w:r>
        <w:t xml:space="preserve">系统由电影感展示首页和业务工作台构成。首页使用全屏概念影像、大标题、固定玻璃导航、活动场景和功能入口，工作台提供实际业务操作。开始筹备打开当前项目编辑，不重置已有资料；首页与工作台来回切换保留预算草稿。背景视频可暂停，减少动态时显示静帧。场景素材明确标为AI生成的概念表达，不作为真实举办记录。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2906078"/>
            <wp:effectExtent l="0" t="0" r="0" b="0"/>
            <wp:docPr id="202" name="图2 展示首页与工作台入口" descr="图2 展示首页与工作台入口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2" name="homepage.png"/>
                    <ns4:cNvPicPr/>
                  </ns4:nvPicPr>
                  <ns4:blipFill>
                    <ns3:blip r:embed="rIdCourse20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290607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图2 展示首页与工作台入口</w:t>
      </w:r>
    </w:p>
    <w:p>
      <w:pPr>
        <w:spacing w:line="400" w:lineRule="exact"/>
      </w:pPr>
      <w:r>
        <w:t xml:space="preserve">业务工作台以深海蓝为底、电光蓝突出关键操作、冷白文本形成层级。侧栏按活动筹备顺序组织页面，总览显示活动约束、任务进度与预算。首页导航采用React Bits Glass Surface，SVG折射不可用时保留磨砂后备，组件条款随源码保留。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3228975"/>
            <wp:effectExtent l="0" t="0" r="0" b="0"/>
            <wp:docPr id="203" name="图3 活动总览与项目信息界面" descr="图3 活动总览与项目信息界面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3" name="overview.png"/>
                    <ns4:cNvPicPr/>
                  </ns4:nvPicPr>
                  <ns4:blipFill>
                    <ns3:blip r:embed="rIdCourse20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32289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图3 活动总览与项目信息界面</w:t>
      </w:r>
    </w:p>
    <w:p>
      <w:pPr>
        <w:spacing w:line="400" w:lineRule="exact"/>
      </w:pPr>
      <w:r>
        <w:t xml:space="preserve">资料问答页集中展示问题、回答、模式和可展开的原文出处。策划工作区在同一上下文下切换不同生成类型，保留补充要求和结果。以下截图来自本轮新应用的本机实际运行，场景和资料均为虚构教学示例。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3228975"/>
            <wp:effectExtent l="0" t="0" r="0" b="0"/>
            <wp:docPr id="204" name="图4 资料问答与来源核对界面" descr="图4 资料问答与来源核对界面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4" name="qa.png"/>
                    <ns4:cNvPicPr/>
                  </ns4:nvPicPr>
                  <ns4:blipFill>
                    <ns3:blip r:embed="rIdCourse20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32289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图4 资料问答与来源核对界面</w:t>
      </w:r>
    </w:p>
    <w:p>
      <w:pPr>
        <w:spacing w:line="400" w:lineRule="exact"/>
      </w:pPr>
      <w:r>
        <w:t xml:space="preserve">执行页按三种状态管理任务；预算页提供可编辑明细和明确的超支反馈。图中的金额只反映截图时的示例计划，实际计算检查与边界用例在第四章记录。界面还通过窄屏导航、键盘操作与减少动态设置适配不同使用条件，具体覆盖范围以本轮验收记录为准。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3228975"/>
            <wp:effectExtent l="0" t="0" r="0" b="0"/>
            <wp:docPr id="205" name="图5 执行任务与状态界面" descr="图5 执行任务与状态界面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5" name="tasks.png"/>
                    <ns4:cNvPicPr/>
                  </ns4:nvPicPr>
                  <ns4:blipFill>
                    <ns3:blip r:embed="rIdCourse20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32289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图5 执行任务与状态界面</w:t>
      </w:r>
    </w:p>
    <w:p>
      <w:pPr>
        <w:spacing w:line="240" w:lineRule="auto"/>
        <w:jc w:val="center"/>
        <w:keepNext/>
      </w:pPr>
      <w:r>
        <w:t xml:space="preserve"/>
      </w:r>
      <w:r>
        <w:drawing>
          <wp:inline distT="0" distB="0" distL="0" distR="0">
            <wp:extent cx="5166360" cy="3228975"/>
            <wp:effectExtent l="0" t="0" r="0" b="0"/>
            <wp:docPr id="206" name="图6 费用预算与边界提示界面" descr="图6 费用预算与边界提示界面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206" name="budget.png"/>
                    <ns4:cNvPicPr/>
                  </ns4:nvPicPr>
                  <ns4:blipFill>
                    <ns3:blip r:embed="rIdCourse20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66360" cy="322897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line="400" w:lineRule="exact"/>
        <w:jc w:val="center"/>
      </w:pPr>
      <w:r>
        <w:t xml:space="preserve">图6 费用预算与边界提示界面</w:t>
      </w:r>
    </w:p>
    <w:p w14:paraId="7D87A740" w14:textId="154EDE60" w:rsidR="005A2D41" w:rsidRDefault="00CF6EAB" w:rsidP="005A2D41">
      <w:pPr>
        <w:pStyle w:val="1"/>
      </w:pPr>
      <w:r>
        <w:rPr>
          <w:rFonts w:hint="eastAsia"/>
        </w:rPr>
        <w:t>四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项目测试与评估</w:t>
      </w:r>
    </w:p>
    <w:p w14:paraId="754A22D3" w14:textId="0F584242" w:rsidR="005A2D41" w:rsidRPr="005A2D41" w:rsidRDefault="00CF6EAB" w:rsidP="005A2D41">
      <w:pPr>
        <w:pStyle w:val="2"/>
      </w:pPr>
      <w:r>
        <w:rPr>
          <w:rFonts w:hint="eastAsia"/>
        </w:rPr>
        <w:t>4</w:t>
      </w:r>
      <w:r w:rsidR="005A2D41">
        <w:rPr>
          <w:rFonts w:hint="eastAsia"/>
        </w:rPr>
        <w:t xml:space="preserve">.1 </w:t>
      </w:r>
      <w:r w:rsidR="005A2D41" w:rsidRPr="005A2D41">
        <w:t>功能测试</w:t>
      </w:r>
    </w:p>
    <w:p>
      <w:pPr>
        <w:spacing w:line="400" w:lineRule="exact"/>
      </w:pPr>
      <w:r>
        <w:t xml:space="preserve">本轮验收分别检查业务接口、浏览器操作和模型服务。后端使用临时数据库验证状态保存与输入边界，浏览器检查可见操作和反馈，真实模型调用单独保留输入与响应。模型协议模拟只验证接口组织和错误处理，不能用作真实模型能力证据。</w:t>
      </w:r>
    </w:p>
    <w:p>
      <w:pPr>
        <w:spacing w:line="400" w:lineRule="exact"/>
      </w:pPr>
      <w:r>
        <w:t xml:space="preserve">本轮后端自动化检查运行65项，通过65项，失败0项；覆盖临时数据库、受控模型服务和本地HTTP接口。浏览器验收共13项，通过13项，覆盖4种视口。二者验证功能行为，不衡量真实模型内容准确率。另有8项前端专项用例，通过8项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0"/>
        <w:gridCol w:w="3150"/>
        <w:gridCol w:w="3406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检查范围</w:t>
            </w:r>
          </w:p>
        </w:tc>
        <w:tc>
          <w:tcPr>
            <w:tcW w:w="3150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典型输入或操作</w:t>
            </w:r>
          </w:p>
        </w:tc>
        <w:tc>
          <w:tcPr>
            <w:tcW w:w="3406" w:type="dxa"/>
            <w:vAlign w:val="center"/>
            <w:shd w:val="clear" w:fill="F0F0F0"/>
          </w:tcPr>
          <w:p>
            <w:pPr>
              <w:spacing w:line="400" w:lineRule="exact"/>
              <w:snapToGrid w:val="0"/>
            </w:pPr>
            <w:r>
              <w:rPr>
                <w:b/>
                <w:color w:val="000000"/>
              </w:rPr>
              <w:t xml:space="preserve">检查重点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活动与资料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保存活动、录入查看删除资料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重新读取一致，删除结果可见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资料问答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有依据问题与资料缺失问题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答案、引用、拒答和模式一致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任务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新增、编辑、变更状态和重复生成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保留已有状态与负责人，不重复追加同名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预算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正常数值、超支、负数与异常值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金额可复算，无效输入拒绝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生成与导出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六类任务及三种下载格式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输出保存、模式清楚、文件内容可读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交互与内容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窄屏、键盘、减少动态与不可信文本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页面可操作，危险内容不执行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模型错误</w:t>
            </w:r>
          </w:p>
        </w:tc>
        <w:tc>
          <w:tcPr>
            <w:tcW w:w="3150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鉴权失败、超时与异常响应</w:t>
            </w:r>
          </w:p>
        </w:tc>
        <w:tc>
          <w:tcPr>
            <w:tcW w:w="3406" w:type="dxa"/>
            <w:vAlign w:val="center"/>
          </w:tcPr>
          <w:p>
            <w:pPr>
              <w:spacing w:line="400" w:lineRule="exact"/>
              <w:snapToGrid w:val="0"/>
            </w:pPr>
            <w:r>
              <w:t xml:space="preserve">错误可见，不静默伪造成功</w:t>
            </w:r>
          </w:p>
        </w:tc>
      </w:tr>
    </w:tbl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测试通过只说明已记录的输入和操作符合预期，不代表覆盖所有浏览器、任意文本、并发负载或公网安全。界面截图是展示证据，独立断言与重新读取数据才用于核对行为。没有实际运行记录的检查不写成已通过。</w:t>
      </w:r>
    </w:p>
    <w:p w14:paraId="5E4798A9" w14:textId="42DF1CFD" w:rsidR="005A2D41" w:rsidRPr="005A2D41" w:rsidRDefault="00CF6EAB" w:rsidP="005A2D41">
      <w:pPr>
        <w:pStyle w:val="2"/>
      </w:pPr>
      <w:r>
        <w:rPr>
          <w:rFonts w:hint="eastAsia"/>
        </w:rPr>
        <w:t>4</w:t>
      </w:r>
      <w:r w:rsidR="005A2D41">
        <w:rPr>
          <w:rFonts w:hint="eastAsia"/>
        </w:rPr>
        <w:t xml:space="preserve">.2 </w:t>
      </w:r>
      <w:r w:rsidR="005A2D41" w:rsidRPr="005A2D41">
        <w:t>效果评估与分析</w:t>
      </w:r>
    </w:p>
    <w:p>
      <w:pPr>
        <w:spacing w:line="400" w:lineRule="exact"/>
      </w:pPr>
      <w:r>
        <w:t xml:space="preserve">内容质量采用案例核对：先从示例资料写出可核查的事实，再比较模型回答、引用与待确认标记。评价重点为事实是否有依据、约束是否一致、内容是否便于执行、缺失信息是否明确。当前样本只服务于本轮课程案例，不报告一般准确率或用户提效百分比。</w:t>
      </w:r>
    </w:p>
    <w:p>
      <w:pPr>
        <w:spacing w:line="400" w:lineRule="exact"/>
      </w:pPr>
      <w:r>
        <w:t xml:space="preserve">本轮使用服务模型ID deepseek-v4.1-flash保存12个接口案例，其中1个为本地敏感请求拦截，其余为实际模型请求，含日程与审阅提示修订后的补跑。以下选取五组代表观察。HTTP完成不等同于内容质量通过，本地拦截不计作模型回答能力。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案例1 容量事实问答</w:t>
      </w:r>
    </w:p>
    <w:p>
      <w:pPr>
        <w:spacing w:line="400" w:lineRule="exact"/>
      </w:pPr>
      <w:r>
        <w:t xml:space="preserve">输入：场地最多可容纳多少人？请引用依据并简短回答。</w:t>
      </w:r>
    </w:p>
    <w:p>
      <w:pPr>
        <w:spacing w:line="400" w:lineRule="exact"/>
      </w:pPr>
      <w:r>
        <w:t xml:space="preserve">输出观察：回答场地最多容纳100人，并附原文引用。</w:t>
      </w:r>
    </w:p>
    <w:p>
      <w:pPr>
        <w:spacing w:line="400" w:lineRule="exact"/>
      </w:pPr>
      <w:r>
        <w:t xml:space="preserve">分析：容量100人与原文一致，附有引用。仅验证这个虚构案例，不能推出整体准确率。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案例2 时间边界推断</w:t>
      </w:r>
    </w:p>
    <w:p>
      <w:pPr>
        <w:spacing w:line="400" w:lineRule="exact"/>
      </w:pPr>
      <w:r>
        <w:t xml:space="preserve">输入：活动当天几点可以进入报告厅，最晚几点离场？请引用资料。</w:t>
      </w:r>
    </w:p>
    <w:p>
      <w:pPr>
        <w:spacing w:line="400" w:lineRule="exact"/>
      </w:pPr>
      <w:r>
        <w:t xml:space="preserve">输出观察：先引用场地13:00–18:00可用、活动14:00–17:00，随后把13:30签到与17:20清场推作进入和最晚离场边界，并说明这些时间来自推算。</w:t>
      </w:r>
    </w:p>
    <w:p>
      <w:pPr>
        <w:spacing w:line="400" w:lineRule="exact"/>
      </w:pPr>
      <w:r>
        <w:t xml:space="preserve">分析：正确引出13:00–18:00开放区间，却把13:30签到/17:20清场推成可进入与最晚离场边界，部分推断不当。保留失败例，不能把存在引用等同事实正确。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案例3 报名链接缺失</w:t>
      </w:r>
    </w:p>
    <w:p>
      <w:pPr>
        <w:spacing w:line="400" w:lineRule="exact"/>
      </w:pPr>
      <w:r>
        <w:t xml:space="preserve">输入：本次活动的报名链接是什么？</w:t>
      </w:r>
    </w:p>
    <w:p>
      <w:pPr>
        <w:spacing w:line="400" w:lineRule="exact"/>
      </w:pPr>
      <w:r>
        <w:t xml:space="preserve">输出观察：明确指出资料中报名入口尚未确定，不能提供具体链接。</w:t>
      </w:r>
    </w:p>
    <w:p>
      <w:pPr>
        <w:spacing w:line="400" w:lineRule="exact"/>
      </w:pPr>
      <w:r>
        <w:t xml:space="preserve">分析：明确报名入口未确定，未编造具体链接，并引用原资料。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案例4 日程提示修订</w:t>
      </w:r>
    </w:p>
    <w:p>
      <w:pPr>
        <w:spacing w:line="400" w:lineRule="exact"/>
      </w:pPr>
      <w:r>
        <w:t xml:space="preserve">输入：agenda：依据现有资料，保留未确认事项。</w:t>
      </w:r>
    </w:p>
    <w:p>
      <w:pPr>
        <w:spacing w:line="400" w:lineRule="exact"/>
      </w:pPr>
      <w:r>
        <w:t xml:space="preserve">输出观察：首轮日程重复策划正文。按模块加强指令、减少无关历史内容后，补跑生成日程表及校验：签到30分钟，正式活动180分钟，清场20分钟，均在场地开放区间内。</w:t>
      </w:r>
    </w:p>
    <w:p>
      <w:pPr>
        <w:spacing w:line="400" w:lineRule="exact"/>
      </w:pPr>
      <w:r>
        <w:t xml:space="preserve">分析：修订后输出日程表与时长校验，签到30分钟、正式180分钟、清场20分钟且均落在13–18开放区间。与旧策划存在不同建议时间轴，仍须统一确认。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案例5 审阅提示修订</w:t>
      </w:r>
    </w:p>
    <w:p>
      <w:pPr>
        <w:spacing w:line="400" w:lineRule="exact"/>
      </w:pPr>
      <w:r>
        <w:t xml:space="preserve">输入：review：依据现有资料，保留未确认事项。</w:t>
      </w:r>
    </w:p>
    <w:p>
      <w:pPr>
        <w:spacing w:line="400" w:lineRule="exact"/>
      </w:pPr>
      <w:r>
        <w:t xml:space="preserve">输出观察：首轮审阅大段重复策划。修订后按问题、证据和优先级组织内容，发现策划与新日程的时间轴不一致，同时也把场地剩余时段未安排列为问题。</w:t>
      </w:r>
    </w:p>
    <w:p>
      <w:pPr>
        <w:spacing w:line="400" w:lineRule="exact"/>
      </w:pPr>
      <w:r>
        <w:t xml:space="preserve">分析：修订后按问题、证据、严重性与优先级输出，发现跨草案时间轴不一致。也把开放时间剩余未安排等情况列为问题，存在过度审查，必须人工分级。</w:t>
      </w:r>
    </w:p>
    <w:p>
      <w:pPr>
        <w:spacing w:line="400" w:lineRule="exact"/>
      </w:pPr>
      <w:r>
        <w:t xml:space="preserve">12个接口案例含1个本地guard，并非12次模型效果通过。</w:t>
      </w:r>
    </w:p>
    <w:p>
      <w:pPr>
        <w:spacing w:line="400" w:lineRule="exact"/>
      </w:pPr>
      <w:r>
        <w:t xml:space="preserve">容量案例正确，时间边界首轮有不当推断。</w:t>
      </w:r>
    </w:p>
    <w:p>
      <w:pPr>
        <w:spacing w:line="400" w:lineRule="exact"/>
      </w:pPr>
      <w:r>
        <w:t xml:space="preserve">日程/审阅prompt修复只在同一虚构活动复查，未验证泛化。</w:t>
      </w:r>
    </w:p>
    <w:p>
      <w:pPr>
        <w:spacing w:line="400" w:lineRule="exact"/>
      </w:pPr>
      <w:r>
        <w:t xml:space="preserve">尚无真实活动用户试用或生产负载证据。</w:t>
      </w:r>
    </w:p>
    <w:p>
      <w:pPr>
        <w:spacing w:line="400" w:lineRule="exact"/>
      </w:pPr>
      <w:r>
        <w:t xml:space="preserve">预算与任务属于确定性业务检查。本轮初始算例由80份活动物料×10元、1项设备与布置×600元、1项茶歇与饮水×500元构成，直接费用1900元；10%预备金190元，总额2090元，距3000元上限余910元。该算式来自新应用的虚构初始数据，可独立复算，不表示已经询价或实际发生支出。</w:t>
      </w:r>
    </w:p>
    <w:p>
      <w:pPr>
        <w:spacing w:line="400" w:lineRule="exact"/>
      </w:pPr>
      <w:r>
        <w:t xml:space="preserve">案例审阅需要保留失败或不完整输出。可能的问题包括模型把建议写成已确认事实、忽略场地条件、重复任务，以及词面检索漏掉近义表达。原型通过来源展示、待确认标记、字段校验和人工审阅减少影响，但单次成功响应不能证明这些问题普遍消失。</w:t>
      </w:r>
    </w:p>
    <w:p>
      <w:pPr>
        <w:spacing w:line="400" w:lineRule="exact"/>
      </w:pPr>
      <w:r>
        <w:t xml:space="preserve">后续评估应增加不同类型活动、问题改写和冲突资料，建立参考答案，由独立评阅者记录事实错误、遗漏与人工修改量。再邀请实际组织完成筹备任务，观察交接是否清楚。只有取得这些证据后，才能讨论广泛适用性和实际效率收益。</w:t>
      </w:r>
    </w:p>
    <w:p w14:paraId="3E68FAA1" w14:textId="433C327B" w:rsidR="005A2D41" w:rsidRDefault="00CF6EAB" w:rsidP="005A2D41">
      <w:pPr>
        <w:pStyle w:val="1"/>
      </w:pPr>
      <w:r>
        <w:rPr>
          <w:rFonts w:ascii="Segoe UI Emoji" w:hAnsi="Segoe UI Emoji" w:cs="Segoe UI Emoji" w:hint="eastAsia"/>
        </w:rPr>
        <w:t>五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项目总结与展望</w:t>
      </w:r>
    </w:p>
    <w:p w14:paraId="21958CA9" w14:textId="21AF03A0" w:rsidR="005A2D41" w:rsidRPr="005A2D41" w:rsidRDefault="00CF6EAB" w:rsidP="005A2D41">
      <w:pPr>
        <w:pStyle w:val="2"/>
      </w:pPr>
      <w:r>
        <w:rPr>
          <w:rFonts w:hint="eastAsia"/>
        </w:rPr>
        <w:t>5</w:t>
      </w:r>
      <w:r w:rsidR="005A2D41">
        <w:rPr>
          <w:rFonts w:hint="eastAsia"/>
        </w:rPr>
        <w:t xml:space="preserve">.1 </w:t>
      </w:r>
      <w:r w:rsidR="005A2D41" w:rsidRPr="005A2D41">
        <w:t>项目成果总结</w:t>
      </w:r>
    </w:p>
    <w:p>
      <w:pPr>
        <w:spacing w:line="400" w:lineRule="exact"/>
      </w:pPr>
      <w:r>
        <w:t xml:space="preserve">会务智策把活动信息、资料、问答、生成、执行和导出整合为同一工作台，覆盖十一项相互关联的业务功能。前端提供操作入口与结果显示，后端负责计算、校验和持久化，模型适配层提供真实调用与规则模式。源码和构建产物使应用能够在本机继续运行与修改。</w:t>
      </w:r>
    </w:p>
    <w:p>
      <w:pPr>
        <w:spacing w:line="400" w:lineRule="exact"/>
      </w:pPr>
      <w:r>
        <w:t xml:space="preserve">对照项目目标，交付成果包括可运行应用、按课程模板撰写的报告、可编辑演示文稿和实际操作视频。可核对的来源、可复算的预算与可保存的任务，使大模型文本进入后续工作过程。本次技术实践涉及接口约定、提示组织、状态一致性、异常反馈和可见结果的验证。</w:t>
      </w:r>
    </w:p>
    <w:p>
      <w:pPr>
        <w:spacing w:line="400" w:lineRule="exact"/>
      </w:pPr>
      <w:r>
        <w:t xml:space="preserve">当前成果仍是课程原型。没有实际组织的长期使用记录，也没有多人协作、生产级权限与服务部署验收。因此，应用潜力主要体现为明确场景与可操作流程，不能将原型完成等同于商业成熟。</w:t>
      </w:r>
    </w:p>
    <w:p w14:paraId="07E7F174" w14:textId="4DBF59E0" w:rsidR="005A2D41" w:rsidRPr="005A2D41" w:rsidRDefault="00CF6EAB" w:rsidP="005A2D41">
      <w:pPr>
        <w:pStyle w:val="2"/>
      </w:pPr>
      <w:r>
        <w:rPr>
          <w:rFonts w:hint="eastAsia"/>
        </w:rPr>
        <w:t>5</w:t>
      </w:r>
      <w:r w:rsidR="005A2D41">
        <w:rPr>
          <w:rFonts w:hint="eastAsia"/>
        </w:rPr>
        <w:t xml:space="preserve">.2 </w:t>
      </w:r>
      <w:r w:rsidR="005A2D41" w:rsidRPr="005A2D41">
        <w:t>遇到的挑战与解决方案</w:t>
      </w:r>
    </w:p>
    <w:p>
      <w:pPr>
        <w:spacing w:line="400" w:lineRule="exact"/>
        <w:keepNext/>
      </w:pPr>
      <w:r>
        <w:rPr>
          <w:b/>
          <w:color w:val="000000"/>
        </w:rPr>
        <w:t xml:space="preserve">活动约束在多个入口之间保持一致</w:t>
      </w:r>
    </w:p>
    <w:p>
      <w:pPr>
        <w:spacing w:line="400" w:lineRule="exact"/>
      </w:pPr>
      <w:r>
        <w:t xml:space="preserve">同一日期、人数或预算如果在不同页面各自维护，后续草案容易相互冲突。系统以统一State和服务端持久化结果作为更新依据，修改接口返回最新状态。生成内容仍是生成时的草案，项目变化后需要重新核对，不能只因页面显示正常就假定旧方案已同步修改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模型输出与业务计算分开处理</w:t>
      </w:r>
    </w:p>
    <w:p>
      <w:pPr>
        <w:spacing w:line="400" w:lineRule="exact"/>
      </w:pPr>
      <w:r>
        <w:t xml:space="preserve">模型文字适合提出建议，金额与状态则需要确定规则。项目把预算交给Decimal计算，把生成任务经过字段校验后再写入看板。真实服务失败时保留可读错误，模式标签说明结果来源，避免把演示模板当成真实模型产出。</w:t>
      </w:r>
    </w:p>
    <w:p>
      <w:pPr>
        <w:spacing w:line="400" w:lineRule="exact"/>
        <w:keepNext/>
      </w:pPr>
      <w:r>
        <w:rPr>
          <w:b/>
          <w:color w:val="000000"/>
        </w:rPr>
        <w:t xml:space="preserve">资料边界与界面安全</w:t>
      </w:r>
    </w:p>
    <w:p>
      <w:pPr>
        <w:spacing w:line="400" w:lineRule="exact"/>
      </w:pPr>
      <w:r>
        <w:t xml:space="preserve">资料可能缺失、互相矛盾或包含指令式文字。系统限制问答依据，保留原文摘录，并将资料与输出视为不可信文本。前端安全展示与后端输入校验各自承担职责，不能依靠提示词单独保证安全。共享接口约定明确字段和错误格式，使前后端能够按同一输入输出核对实现。</w:t>
      </w:r>
    </w:p>
    <w:p w14:paraId="339A0F7D" w14:textId="2D5717B0" w:rsidR="005A2D41" w:rsidRPr="005A2D41" w:rsidRDefault="00CF6EAB" w:rsidP="005A2D41">
      <w:pPr>
        <w:pStyle w:val="2"/>
      </w:pPr>
      <w:r>
        <w:rPr>
          <w:rFonts w:hint="eastAsia"/>
        </w:rPr>
        <w:t>5.</w:t>
      </w:r>
      <w:r w:rsidR="005A2D41">
        <w:rPr>
          <w:rFonts w:hint="eastAsia"/>
        </w:rPr>
        <w:t xml:space="preserve">3 </w:t>
      </w:r>
      <w:r w:rsidR="005A2D41" w:rsidRPr="005A2D41">
        <w:t>未来工作展望</w:t>
      </w:r>
    </w:p>
    <w:p>
      <w:pPr>
        <w:spacing w:line="400" w:lineRule="exact"/>
      </w:pPr>
      <w:r>
        <w:t xml:space="preserve">近期可以优先完善资料版本与更新时间、冲突提示、生成快照、任务依赖和预算模板，使活动修改后的影响更容易追踪。日程需要增加明确的时段校验和缓冲检查，审阅则需要把已确认信息与待确认事项分开展示。</w:t>
      </w:r>
    </w:p>
    <w:p>
      <w:pPr>
        <w:spacing w:line="400" w:lineRule="exact"/>
      </w:pPr>
      <w:r>
        <w:t xml:space="preserve">资料规模扩大后，可将当前词面检索与语义检索进行对照，使用实际问题和参考答案判断是否值得增加嵌入模型。引入PDF、OCR或其他模态前，应先解决解析错误与来源定位，确保生成结果仍可回到可读证据。</w:t>
      </w:r>
    </w:p>
    <w:p>
      <w:pPr>
        <w:spacing w:line="400" w:lineRule="exact"/>
      </w:pPr>
      <w:r>
        <w:t xml:space="preserve">若面向组织长期使用，需要增加账户角色、多人协作、审计、备份、版本恢复和模型用量管理，并换用适合生产的服务架构。可能的服务形式包括本地部署、活动模板与组织流程配置。本轮没有客户、收入或付费意愿证据，后续应先进行真实试用，再判断持续投入的价值。</w:t>
      </w:r>
    </w:p>
    <w:p w14:paraId="46F24068" w14:textId="5795DAF9" w:rsidR="005A2D41" w:rsidRPr="005A2D41" w:rsidRDefault="00CF6EAB" w:rsidP="005A2D41">
      <w:pPr>
        <w:pStyle w:val="1"/>
      </w:pPr>
      <w:r>
        <w:rPr>
          <w:rFonts w:hint="eastAsia"/>
        </w:rPr>
        <w:t>六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小组分工与贡献说明</w:t>
      </w:r>
    </w:p>
    <w:p>
      <w:pPr>
        <w:spacing w:line="400" w:lineRule="exact"/>
      </w:pPr>
      <w:r>
        <w:t xml:space="preserve"/>
      </w:r>
    </w:p>
    <w:sectPr w:rsidR="005A2D41" w:rsidRPr="005A2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8376" w14:textId="77777777" w:rsidR="00184B35" w:rsidRDefault="00184B35" w:rsidP="001B1B25">
      <w:pPr>
        <w:rPr>
          <w:rFonts w:hint="eastAsia"/>
        </w:rPr>
      </w:pPr>
      <w:r>
        <w:separator/>
      </w:r>
    </w:p>
  </w:endnote>
  <w:endnote w:type="continuationSeparator" w:id="0">
    <w:p w14:paraId="207D3356" w14:textId="77777777" w:rsidR="00184B35" w:rsidRDefault="00184B35" w:rsidP="001B1B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72C2" w14:textId="77777777" w:rsidR="00184B35" w:rsidRDefault="00184B35" w:rsidP="001B1B25">
      <w:pPr>
        <w:rPr>
          <w:rFonts w:hint="eastAsia"/>
        </w:rPr>
      </w:pPr>
      <w:r>
        <w:separator/>
      </w:r>
    </w:p>
  </w:footnote>
  <w:footnote w:type="continuationSeparator" w:id="0">
    <w:p w14:paraId="5F1A6A1A" w14:textId="77777777" w:rsidR="00184B35" w:rsidRDefault="00184B35" w:rsidP="001B1B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B80"/>
    <w:multiLevelType w:val="multilevel"/>
    <w:tmpl w:val="D95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26424B"/>
    <w:multiLevelType w:val="multilevel"/>
    <w:tmpl w:val="E12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710EDC"/>
    <w:multiLevelType w:val="multilevel"/>
    <w:tmpl w:val="5D24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47E00"/>
    <w:multiLevelType w:val="multilevel"/>
    <w:tmpl w:val="509C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475767">
    <w:abstractNumId w:val="0"/>
  </w:num>
  <w:num w:numId="2" w16cid:durableId="1591307991">
    <w:abstractNumId w:val="2"/>
  </w:num>
  <w:num w:numId="3" w16cid:durableId="273488082">
    <w:abstractNumId w:val="3"/>
  </w:num>
  <w:num w:numId="4" w16cid:durableId="18752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3F"/>
    <w:rsid w:val="00184B35"/>
    <w:rsid w:val="001B1B25"/>
    <w:rsid w:val="005A2D41"/>
    <w:rsid w:val="006A1AC6"/>
    <w:rsid w:val="009F54BD"/>
    <w:rsid w:val="00B853C2"/>
    <w:rsid w:val="00BD55DA"/>
    <w:rsid w:val="00CF6EAB"/>
    <w:rsid w:val="00E0183F"/>
    <w:rsid w:val="00E6746C"/>
    <w:rsid w:val="00EA008F"/>
    <w:rsid w:val="00EA2C33"/>
    <w:rsid w:val="00F4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11EFB"/>
  <w15:chartTrackingRefBased/>
  <w15:docId w15:val="{D510EB1D-9A08-44F7-AB3E-FE69024E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D4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A2D41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A2D41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08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B2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A2D41"/>
    <w:rPr>
      <w:rFonts w:eastAsia="微软雅黑"/>
      <w:b/>
      <w:bCs/>
      <w:kern w:val="44"/>
      <w:sz w:val="30"/>
      <w:szCs w:val="44"/>
    </w:rPr>
  </w:style>
  <w:style w:type="character" w:styleId="a7">
    <w:name w:val="annotation reference"/>
    <w:basedOn w:val="a0"/>
    <w:uiPriority w:val="99"/>
    <w:semiHidden/>
    <w:unhideWhenUsed/>
    <w:rsid w:val="001B1B2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B1B2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1B1B25"/>
  </w:style>
  <w:style w:type="paragraph" w:styleId="aa">
    <w:name w:val="annotation subject"/>
    <w:basedOn w:val="a8"/>
    <w:next w:val="a8"/>
    <w:link w:val="ab"/>
    <w:uiPriority w:val="99"/>
    <w:semiHidden/>
    <w:unhideWhenUsed/>
    <w:rsid w:val="001B1B2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B1B25"/>
    <w:rPr>
      <w:b/>
      <w:bCs/>
    </w:rPr>
  </w:style>
  <w:style w:type="character" w:customStyle="1" w:styleId="20">
    <w:name w:val="标题 2 字符"/>
    <w:basedOn w:val="a0"/>
    <w:link w:val="2"/>
    <w:uiPriority w:val="9"/>
    <w:rsid w:val="005A2D41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08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itation1" Type="http://schemas.openxmlformats.org/officeDocument/2006/relationships/hyperlink" Target="https://api-docs.deepseek.com/zh-cn/" TargetMode="External"/><Relationship Id="rIdCitation2" Type="http://schemas.openxmlformats.org/officeDocument/2006/relationships/hyperlink" Target="https://tokendance.space/llms.txt" TargetMode="External"/><Relationship Id="rIdCitation3" Type="http://schemas.openxmlformats.org/officeDocument/2006/relationships/hyperlink" Target="https://react.dev/learn/describing-the-ui" TargetMode="External"/><Relationship Id="rIdCitation4" Type="http://schemas.openxmlformats.org/officeDocument/2006/relationships/hyperlink" Target="https://vite.dev/guide/build" TargetMode="External"/><Relationship Id="rIdCitation5" Type="http://schemas.openxmlformats.org/officeDocument/2006/relationships/hyperlink" Target="https://docs.python.org/3/library/sqlite3.html" TargetMode="External"/><Relationship Id="rIdCitation6" Type="http://schemas.openxmlformats.org/officeDocument/2006/relationships/hyperlink" Target="https://docs.python.org/3/library/http.server.html" TargetMode="External"/><Relationship Id="rIdCourse201" Type="http://schemas.openxmlformats.org/officeDocument/2006/relationships/image" Target="media/course-201.png"/><Relationship Id="rIdCourse202" Type="http://schemas.openxmlformats.org/officeDocument/2006/relationships/image" Target="media/course-202.png"/><Relationship Id="rIdCourse203" Type="http://schemas.openxmlformats.org/officeDocument/2006/relationships/image" Target="media/course-203.png"/><Relationship Id="rIdCourse204" Type="http://schemas.openxmlformats.org/officeDocument/2006/relationships/image" Target="media/course-204.png"/><Relationship Id="rIdCourse205" Type="http://schemas.openxmlformats.org/officeDocument/2006/relationships/image" Target="media/course-205.png"/><Relationship Id="rIdCourse206" Type="http://schemas.openxmlformats.org/officeDocument/2006/relationships/image" Target="media/course-20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涵</dc:creator>
  <cp:keywords/>
  <dc:description/>
  <cp:lastModifiedBy>zhangxin</cp:lastModifiedBy>
  <cp:revision>6</cp:revision>
  <dcterms:created xsi:type="dcterms:W3CDTF">2022-03-19T01:08:00Z</dcterms:created>
  <dcterms:modified xsi:type="dcterms:W3CDTF">2025-11-25T08:03:00Z</dcterms:modified>
</cp:coreProperties>
</file>