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and AI Engineer</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Machine learning and AI engineer who takes models from idea to monitored production. Served a fraud model at 5.1 ms p99 with ONNX Runtime and FastAPI, deployed ML and LLM services in Docker on AWS, GCP and Railway, and built evaluation for LLM systems. Explains technical trade-offs clearly as a teacher.</w:t>
      </w:r>
    </w:p>
    <w:p>
      <w:pPr>
        <w:spacing w:after="60" w:before="180"/>
        <w:pBdr>
          <w:bottom w:val="single" w:sz="6" w:space="1" w:color="808080"/>
        </w:pBdr>
      </w:pPr>
      <w:r>
        <w:rPr>
          <w:b/>
          <w:i w:val="0"/>
          <w:color w:val="1F3864"/>
          <w:sz w:val="21"/>
        </w:rPr>
        <w:t>SKILLS</w:t>
      </w:r>
    </w:p>
    <w:p>
      <w:pPr>
        <w:spacing w:after="30" w:before="0"/>
      </w:pPr>
      <w:r>
        <w:rPr>
          <w:b/>
          <w:sz w:val="19"/>
        </w:rPr>
        <w:t xml:space="preserve">AI and LLM Systems: </w:t>
      </w:r>
      <w:r>
        <w:rPr>
          <w:sz w:val="19"/>
        </w:rPr>
        <w:t>ONNX Runtime, Retrieval-Augmented Generation (RAG), LLM Evaluation and Guardrails, Hugging Face, Hybrid Search (BM25, Dense Embeddings, RRF), Prompt Engineering, Citation Verification, Model Context Protocol (MCP)</w:t>
      </w:r>
    </w:p>
    <w:p>
      <w:pPr>
        <w:spacing w:after="30" w:before="0"/>
      </w:pPr>
      <w:r>
        <w:rPr>
          <w:b/>
          <w:sz w:val="19"/>
        </w:rPr>
        <w:t xml:space="preserve">Engineering and MLOps: </w:t>
      </w:r>
      <w:r>
        <w:rPr>
          <w:sz w:val="19"/>
        </w:rPr>
        <w:t>Python, FastAPI, Docker, AWS ECS Fargate, GCP Cloud Run, Railway, SQL, DuckDB, PostgreSQL, Redis, Prefect, dbt-core, MLflow, Evidently, CI/CD (GitHub Actions),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Fintech Compliance RAG Assistant</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Deployed on GCP Cloud Run via Docker within a ~225MB peak memory footprint (2GB budget), with per-session and daily request caps in application code to bound API cost on a public endpoint.</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spacing w:after="0" w:before="100"/>
      </w:pPr>
      <w:r>
        <w:rPr>
          <w:b/>
          <w:sz w:val="20"/>
        </w:rPr>
        <w:t>Telco Customer Churn, End to End on AWS</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XGBoost, MLflow, FastAPI, Gradio, Docker, GitHub Actions, AWS ECS Fargate, Application Load Balancer, CloudWatch</w:t>
      </w:r>
    </w:p>
    <w:p>
      <w:pPr>
        <w:pStyle w:val="ListBullet"/>
        <w:spacing w:after="30"/>
        <w:ind w:left="317"/>
      </w:pPr>
      <w:r>
        <w:rPr>
          <w:sz w:val="19"/>
        </w:rPr>
        <w:t>Served it through a FastAPI /predict endpoint with a Gradio UI, containerised with Docker and deployed on AWS ECS Fargate behind an Application Load Balancer, with CloudWatch logs and GitHub Actions CI/CD.</w:t>
      </w:r>
    </w:p>
    <w:p>
      <w:pPr>
        <w:spacing w:after="0" w:before="100"/>
      </w:pPr>
      <w:r>
        <w:rPr>
          <w:b/>
          <w:sz w:val="20"/>
        </w:rPr>
        <w:t>Reckon: Payment Reconciliation and Review System</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Containerised and deployed the full service on Railway with structured log collection, automated integration testing and persistent transaction state tracking.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Nigerian-Fintech-Compliance-RAG" TargetMode="External"/><Relationship Id="rId13" Type="http://schemas.openxmlformats.org/officeDocument/2006/relationships/hyperlink" Target="https://nigerian-fintech-regulation-assistant-474115007874.europe-west1.run.app/" TargetMode="External"/><Relationship Id="rId14" Type="http://schemas.openxmlformats.org/officeDocument/2006/relationships/hyperlink" Target="https://github.com/MelvTheGoat/Customer-Churn" TargetMode="External"/><Relationship Id="rId15" Type="http://schemas.openxmlformats.org/officeDocument/2006/relationships/hyperlink" Target="https://github.com/MelvTheGoat/Stack" TargetMode="External"/><Relationship Id="rId16"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