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Scientist, Machine Learning and Statistics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scientist focused on evaluation and data quality for ML and AI systems. Built a labelled golden set for a retrieval assistant, a hand-checked evaluation set for a crypto risk tool, and fraud and abuse models judged by attack type. Builds Python and SQL pipelines and human review tools.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LLM Evaluation and Guardrails, Citation Verification, Prompt Engineering, Retrieval-Augmented Generation (RAG), Hybrid Search (BM25, Dense Embeddings, RRF),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Web3 Fraud Risk Scoring, Credit Risk Decisioning, Payment Reconciliation, Double-Entry Ledgers and Idempotency, Regulatory Compliance (CBN/NDPA), Demand Forecasting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Ran retrieval and generation evaluation as separate metrics to localise failure by component; traced a 0.40 refusal-correctness result to a lexical-overlap limitation in the offline stub judge and flagged re-validation against a live provider as the next step instead of overstating readiness.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regulatory question-answering system over central bank (CBN) circulars and the NDPA, combining sparse (BM25) and dense (ONNX-served MiniLM) retrieval fused via reciprocal rank fusion, reaching 0.96 recall@5 and 0.842 MRR on a 50-question labelled golden set with zero retrieval misses in the top 10.</w:t>
      </w:r>
    </w:p>
    <w:p>
      <w:pPr>
        <w:pStyle w:val="ListBullet"/>
        <w:spacing w:after="30"/>
        <w:ind w:left="317"/>
      </w:pPr>
      <w:r>
        <w:rPr>
          <w:sz w:val="19"/>
        </w:rPr>
        <w:t>Designed generation to fail safely under uncertainty: a sentinel-token refusal mechanism enforced across the prompt, output guardrail and evaluation harness, plus post-generation citation verification that strips any marker the model cited but never retrieved.</w:t>
      </w:r>
    </w:p>
    <w:p>
      <w:pPr>
        <w:spacing w:after="0" w:before="100"/>
      </w:pPr>
      <w:r>
        <w:rPr>
          <w:b/>
          <w:sz w:val="20"/>
        </w:rPr>
        <w:t>web3-risk-mcp: Web3 Fraud Risk MCP Server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Model Context Protocol (MCP), Etherscan V2, GoPlus, DexScreener,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Assembled an evaluation set of 34 hand-checked addresses (12 risky, 22 safe) with a record and replay harness reporting ROC AUC, precision and recall.</w:t>
      </w:r>
    </w:p>
    <w:p>
      <w:pPr>
        <w:pStyle w:val="ListBullet"/>
        <w:spacing w:after="30"/>
        <w:ind w:left="317"/>
      </w:pPr>
      <w:r>
        <w:rPr>
          <w:sz w:val="19"/>
        </w:rPr>
        <w:t>Designed a rule-based, fully explainable scorer where findings carry stable IDs and decisive findings set a floor of 75 so trust signals can never hide them; each score carries a confidence level based on how many sources answered.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Handled extreme class imbalance with focal loss and weighted sampling and isolated their failure modes: focal loss degraded probability calibration (ECE 0.0063) while weighted sampling cost 0.042 PR-AUC. Corrected calibration with temperature scaling and isotonic regression, reducing ECE to 0.0005.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Nigerian-Fintech-Compliance-RAG" TargetMode="External"/><Relationship Id="rId12" Type="http://schemas.openxmlformats.org/officeDocument/2006/relationships/hyperlink" Target="https://nigerian-fintech-regulation-assistant-474115007874.europe-west1.run.app/" TargetMode="External"/><Relationship Id="rId13" Type="http://schemas.openxmlformats.org/officeDocument/2006/relationships/hyperlink" Target="https://github.com/MelvTheGoat/web3-risk-mcp" TargetMode="External"/><Relationship Id="rId14" Type="http://schemas.openxmlformats.org/officeDocument/2006/relationships/hyperlink" Target="https://github.com/MelvTheGoat/Fraud-Detection-With-Sequence-Models" TargetMode="External"/><Relationship Id="rId15" Type="http://schemas.openxmlformats.org/officeDocument/2006/relationships/hyperlink" Target="https://github.com/MelvTheGoat/Stack" TargetMode="External"/><Relationship Id="rId16" Type="http://schemas.openxmlformats.org/officeDocument/2006/relationships/hyperlink" Target="https://stack-production-d2a4.up.railway.app/re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