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Data Scientist, Statistics and Forecasting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Data scientist with a B.Sc. in Statistics, focused on measuring what actually works. Ran a causal uplift study on a randomised e-mail campaign with 64,000 customers, with power, MDE and CUPED tools, and built time-series forecasting checked by rolling backtests. Explains results as plain decisions for business owners.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Experiment Design, Power Analysis, CUPED, Uplift Modeling, Causal Inference (S/T/X-Learners, Causal Forests), Time-Series Backtesting, Statistical Inference, Qini and AUUC, Logistic Regression, WOE Scorecards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SQL, DuckDB, PostgreSQL, Redis, FastAPI, Docker, GCP Cloud Run, AWS ECS Fargate, Railway, Prefect, dbt-core, MLflow, Evidently, CI/CD (GitHub Actions), Git, Pytest, Streamlit, React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Pandas, NumPy, SQL, Anomaly Detection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Transaction Fraud Detection, Credit Risk Decisioning, Payment Reconciliation, Double-Entry Ledgers and Idempotency, Regulatory Compliance (CBN/NDPA), Demand Forecasting, Web3 Fraud Risk Scoring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Uplift Modelling for Campaign Targeting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scikit-learn, LightGBM, EconML, pytest, GitHub Actions</w:t>
      </w:r>
    </w:p>
    <w:p>
      <w:pPr>
        <w:pStyle w:val="ListBullet"/>
        <w:spacing w:after="30"/>
        <w:ind w:left="317"/>
      </w:pPr>
      <w:r>
        <w:rPr>
          <w:sz w:val="19"/>
        </w:rPr>
        <w:t>Ran a causal inference study on the Hillstrom randomised e-mail trial (64,000 customers) to decide which customers to contact under a fixed budget, delivered as a two-page decision memo for a marketing director.</w:t>
      </w:r>
    </w:p>
    <w:p>
      <w:pPr>
        <w:pStyle w:val="ListBullet"/>
        <w:spacing w:after="30"/>
        <w:ind w:left="317"/>
      </w:pPr>
      <w:r>
        <w:rPr>
          <w:sz w:val="19"/>
        </w:rPr>
        <w:t>Showed the campaign works (1.25% conversion against 0.57%) but that a non-randomised list overstates the effect by 7.5×, and that a response model mails five times as many customers the campaign harms as an uplift model does.</w:t>
      </w:r>
    </w:p>
    <w:p>
      <w:pPr>
        <w:pStyle w:val="ListBullet"/>
        <w:spacing w:after="30"/>
        <w:ind w:left="317"/>
      </w:pPr>
      <w:r>
        <w:rPr>
          <w:sz w:val="19"/>
        </w:rPr>
        <w:t>Evaluated with Qini curves, AUUC, decile tables and bootstrap intervals; uplift targeting was worth about $1,390 against about $3,170 for raising the budget, and a failed placebo test on the primary campaign was reported openly.</w:t>
      </w:r>
    </w:p>
    <w:p>
      <w:pPr>
        <w:pStyle w:val="ListBullet"/>
        <w:spacing w:after="30"/>
        <w:ind w:left="317"/>
      </w:pPr>
      <w:r>
        <w:rPr>
          <w:sz w:val="19"/>
        </w:rPr>
        <w:t>Added a power and MDE calculator and a CUPED variance-reduction demo; 135 tests on synthetic data with CI on Python 3.10 to 3.12.</w:t>
      </w:r>
    </w:p>
    <w:p>
      <w:pPr>
        <w:spacing w:after="0" w:before="100"/>
      </w:pPr>
      <w:r>
        <w:rPr>
          <w:b/>
          <w:sz w:val="20"/>
        </w:rPr>
        <w:t>Self-Operating Demand Forecasting Platform</w:t>
      </w:r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Prefect, dbt-core, DuckDB, LightGBM, MLflow, Evidently, FastAPI,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end-to-end hourly demand forecasting system for NYC taxi zones, producing 24-hour quantile forecasts through an orchestrated Prefect pipeline spanning ingestion, dbt/DuckDB transformations, backtesting, drift monitoring and conditional retraining.</w:t>
      </w:r>
    </w:p>
    <w:p>
      <w:pPr>
        <w:pStyle w:val="ListBullet"/>
        <w:spacing w:after="30"/>
        <w:ind w:left="317"/>
      </w:pPr>
      <w:r>
        <w:rPr>
          <w:sz w:val="19"/>
        </w:rPr>
        <w:t>Modelled asymmetric business cost by penalising unmet demand at 3× idle supply and shipping the cost-optimal quantile rather than the median, cutting expected cost by 25% on an identical model and beating a seasonal-naive baseline by 32%.</w:t>
      </w:r>
    </w:p>
    <w:p>
      <w:pPr>
        <w:pStyle w:val="ListBullet"/>
        <w:spacing w:after="30"/>
        <w:ind w:left="317"/>
      </w:pPr>
      <w:r>
        <w:rPr>
          <w:sz w:val="19"/>
        </w:rPr>
        <w:t>Validated with rolling-origin backtesting across 6 expanding-window folds against seasonal-naive and historical-mean baselines, reporting MASE and pinball loss, with automated leakage tests that fail the build if any feature reads past the forecast origin.</w:t>
      </w:r>
    </w:p>
    <w:p>
      <w:pPr>
        <w:spacing w:after="0" w:before="100"/>
      </w:pPr>
      <w:r>
        <w:rPr>
          <w:b/>
          <w:sz w:val="20"/>
        </w:rPr>
        <w:t>Premier League Match Predictor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LightGBM, scikit-learn, pandas, SQLite, Flask, Vercel</w:t>
      </w:r>
    </w:p>
    <w:p>
      <w:pPr>
        <w:pStyle w:val="ListBullet"/>
        <w:spacing w:after="30"/>
        <w:ind w:left="317"/>
      </w:pPr>
      <w:r>
        <w:rPr>
          <w:sz w:val="19"/>
        </w:rPr>
        <w:t>Built a predictor that forecasts Premier League outcomes and scorelines each gameweek and retrains itself after every gameweek, keeping a public record of every past prediction.</w:t>
      </w:r>
    </w:p>
    <w:p>
      <w:pPr>
        <w:pStyle w:val="ListBullet"/>
        <w:spacing w:after="30"/>
        <w:ind w:left="317"/>
      </w:pPr>
      <w:r>
        <w:rPr>
          <w:sz w:val="19"/>
        </w:rPr>
        <w:t>Backtested gameweek by gameweek over 1,050 matches: 52.1% outcome accuracy against 43.2% for always picking the home side, and log loss 0.9948 against 1.0061 for an Elo-only baseline, with well calibrated probabilities.</w:t>
      </w:r>
    </w:p>
    <w:p>
      <w:pPr>
        <w:spacing w:after="0" w:before="100"/>
      </w:pPr>
      <w:r>
        <w:rPr>
          <w:b/>
          <w:sz w:val="20"/>
        </w:rPr>
        <w:t>Credit Risk Decisioning and Fairness Audit System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5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LightGBM, scikit-learn, SHAP, WOE Scorecards, FastAPI, Docker</w:t>
      </w:r>
    </w:p>
    <w:p>
      <w:pPr>
        <w:pStyle w:val="ListBullet"/>
        <w:spacing w:after="30"/>
        <w:ind w:left="317"/>
      </w:pPr>
      <w:r>
        <w:rPr>
          <w:sz w:val="19"/>
        </w:rPr>
        <w:t>Benchmarked gradient boosting against a traditional WOE-binned logistic scorecard, prioritising calibration quality (Brier score, reliability diagrams, expected calibration error) over ranking metrics, because expected loss needs true probabilities rather than rankings.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Uplift-Modelling-Decision" TargetMode="External"/><Relationship Id="rId12" Type="http://schemas.openxmlformats.org/officeDocument/2006/relationships/hyperlink" Target="https://github.com/MelvTheGoat/nyc-taxi-demand-forecast" TargetMode="External"/><Relationship Id="rId13" Type="http://schemas.openxmlformats.org/officeDocument/2006/relationships/hyperlink" Target="https://github.com/MelvTheGoat/Premier-League" TargetMode="External"/><Relationship Id="rId14" Type="http://schemas.openxmlformats.org/officeDocument/2006/relationships/hyperlink" Target="https://github.com/MelvTheGoat/Credit-Risk-Decisioning" TargetMode="External"/><Relationship Id="rId15" Type="http://schemas.openxmlformats.org/officeDocument/2006/relationships/hyperlink" Target="https://credit-risk-decisioning-702657773047.europe-west1.run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