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and Machine Learning Analyst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Data and machine learning analyst with a B.Sc. in Statistics and two Google data analytics certificates. Careful about data quality: wrote automated leakage tests that fail a build when a feature reads past the forecast origin, and a reconciliation pipeline that catches duplicate and mismatched records. Works in SQL and Python and teaches data analysis to student cohorts.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SQL, Pandas, Anomaly Detection, NumPy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DuckDB, PostgreSQL, Redis, FastAPI, Docker, GCP Cloud Run, AWS ECS Fargate, Railway,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Validated with rolling-origin backtesting across 6 expanding-window folds against seasonal-naive and historical-mean baselines, reporting MASE and pinball loss, with automated leakage tests that fail the build if any feature reads past the forecast origin.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spacing w:after="0" w:before="10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payment reconciliation system processing multi-source transaction feeds to detect uncollected revenue, duplicate settlements and payout discrepancies, combining deterministic matching rules with ML-assisted discrepancy resolution.</w:t>
      </w:r>
    </w:p>
    <w:p>
      <w:pPr>
        <w:pStyle w:val="ListBullet"/>
        <w:spacing w:after="30"/>
        <w:ind w:left="317"/>
      </w:pPr>
      <w:r>
        <w:rPr>
          <w:sz w:val="19"/>
        </w:rPr>
        <w:t>Engineered a multi-stage reconciliation pipeline using DuckDB and FastAPI, with temporal join logic and tolerance thresholds to handle asynchronous processor webhooks and bank settlement files.</w:t>
      </w:r>
    </w:p>
    <w:p>
      <w:pPr>
        <w:spacing w:after="0" w:before="10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6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Benchmarked all architectures against a strong LightGBM baseline on engineered velocity and deviation features, reporting PR-AUC and precision at fixed review capacity (top 0.1%, 0.5%, 1%) across 3 seeds, with a per-attack-type breakdown covering card testing, account takeover and merchant compromise; sequence models cut expected cost per transaction 27% under an explicit cost model.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Guide learners through end-to-end ML projects on real-world datasets.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yc-taxi-demand-forecast" TargetMode="External"/><Relationship Id="rId12" Type="http://schemas.openxmlformats.org/officeDocument/2006/relationships/hyperlink" Target="https://github.com/MelvTheGoat/Stack" TargetMode="External"/><Relationship Id="rId13" Type="http://schemas.openxmlformats.org/officeDocument/2006/relationships/hyperlink" Target="https://stack-production-d2a4.up.railway.app/review" TargetMode="External"/><Relationship Id="rId14" Type="http://schemas.openxmlformats.org/officeDocument/2006/relationships/hyperlink" Target="https://github.com/MelvTheGoat/Nigerian-Fintech-Compliance-RAG" TargetMode="External"/><Relationship Id="rId15" Type="http://schemas.openxmlformats.org/officeDocument/2006/relationships/hyperlink" Target="https://nigerian-fintech-regulation-assistant-474115007874.europe-west1.run.app/" TargetMode="External"/><Relationship Id="rId16" Type="http://schemas.openxmlformats.org/officeDocument/2006/relationships/hyperlink" Target="https://github.com/MelvTheGoat/Fraud-Detection-With-Sequence-Mod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