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Scientist, Credit and Fraud Risk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Analyst with a B.Sc. in Statistics who turns credit and risk policy into working logic. Built a credit decisioning system with scorecards, cost-based cutoffs and reason codes, and rule-based and ML risk scoring with clear documentation. Explains technical work to non-technical audiences as a teacher.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Credit Risk Decisioning, Transaction Fraud Detection, Payment Reconciliation, Double-Entry Ledgers and Idempotency, Regulatory Compliance (CBN/NDPA),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WOE Scorecards, Logistic Regression, Statistical Inference, Experiment Design, Power Analysis, CUPED, Causal Inference (S/T/X-Learners, Causal Forests), Uplift Modeling, Qini and AUUC, Time-Series Backtesting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SQL, Git, DuckDB, PostgreSQL, Redis, FastAPI, Docker, GCP Cloud Run, AWS ECS Fargate, Railway, Prefect, dbt-core, MLflow, Evidently, CI/CD (GitHub Actions), Pytest, Streamlit, React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Citation Verification, Model Context Protocol (MCP), Hugging Face, ONNX Runtime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Credit Risk Decisioning and Fairness Audit System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SHAP, WOE Scorecards, FastAPI, Docker</w:t>
      </w:r>
    </w:p>
    <w:p>
      <w:pPr>
        <w:pStyle w:val="ListBullet"/>
        <w:spacing w:after="30"/>
        <w:ind w:left="317"/>
      </w:pPr>
      <w:r>
        <w:rPr>
          <w:sz w:val="19"/>
        </w:rPr>
        <w:t>Developed a full credit decisioning system producing calibrated default probabilities, cost-optimal approve and decline cutoffs, adverse action reason codes and an append-only audit trail that lets any individual decision be reconstructed months later.</w:t>
      </w:r>
    </w:p>
    <w:p>
      <w:pPr>
        <w:pStyle w:val="ListBullet"/>
        <w:spacing w:after="30"/>
        <w:ind w:left="317"/>
      </w:pPr>
      <w:r>
        <w:rPr>
          <w:sz w:val="19"/>
        </w:rPr>
        <w:t>Benchmarked gradient boosting against a traditional WOE-binned logistic scorecard, prioritising calibration quality (Brier score, reliability diagrams, expected calibration error) over ranking metrics, because expected loss needs true probabilities rather than rankings.</w:t>
      </w:r>
    </w:p>
    <w:p>
      <w:pPr>
        <w:spacing w:after="0" w:before="100"/>
      </w:pPr>
      <w:r>
        <w:rPr>
          <w:b/>
          <w:sz w:val="20"/>
        </w:rPr>
        <w:t>web3-risk-mcp: Web3 Fraud Risk MCP Server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Model Context Protocol (MCP), Etherscan V2, GoPlus, DexScreener,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Designed a rule-based, fully explainable scorer where findings carry stable IDs and decisive findings set a floor of 75 so trust signals can never hide them; each score carries a confidence level based on how many sources answered.</w:t>
      </w:r>
    </w:p>
    <w:p>
      <w:pPr>
        <w:pStyle w:val="ListBullet"/>
        <w:spacing w:after="30"/>
        <w:ind w:left="317"/>
      </w:pPr>
      <w:r>
        <w:rPr>
          <w:sz w:val="19"/>
        </w:rPr>
        <w:t>Assembled an evaluation set of 34 hand-checked addresses (12 risky, 22 safe) with a record and replay harness reporting ROC AUC, precision and recall.</w:t>
      </w:r>
    </w:p>
    <w:p>
      <w:pPr>
        <w:spacing w:after="0" w:before="100"/>
      </w:pPr>
      <w:r>
        <w:rPr>
          <w:b/>
          <w:sz w:val="20"/>
        </w:rPr>
        <w:t>Reckon: Payment Reconciliation and Review System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DuckDB, FastAPI, React, Docker, Railway, PostgreSQL</w:t>
      </w:r>
    </w:p>
    <w:p>
      <w:pPr>
        <w:pStyle w:val="ListBullet"/>
        <w:spacing w:after="30"/>
        <w:ind w:left="317"/>
      </w:pPr>
      <w:r>
        <w:rPr>
          <w:sz w:val="19"/>
        </w:rPr>
        <w:t>Designed a human-in-the-loop review interface in React showing match confidence scores, audit trails and suggested resolution actions to streamline exception handling.</w:t>
      </w:r>
    </w:p>
    <w:p>
      <w:pPr>
        <w:spacing w:after="0" w:before="10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6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7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regulatory question-answering system over central bank (CBN) circulars and the NDPA, combining sparse (BM25) and dense (ONNX-served MiniLM) retrieval fused via reciprocal rank fusion, reaching 0.96 recall@5 and 0.842 MRR on a 50-question labelled golden set with zero retrieval misses in the top 10.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Credit-Risk-Decisioning" TargetMode="External"/><Relationship Id="rId12" Type="http://schemas.openxmlformats.org/officeDocument/2006/relationships/hyperlink" Target="https://credit-risk-decisioning-702657773047.europe-west1.run.app/" TargetMode="External"/><Relationship Id="rId13" Type="http://schemas.openxmlformats.org/officeDocument/2006/relationships/hyperlink" Target="https://github.com/MelvTheGoat/web3-risk-mcp" TargetMode="External"/><Relationship Id="rId14" Type="http://schemas.openxmlformats.org/officeDocument/2006/relationships/hyperlink" Target="https://github.com/MelvTheGoat/Stack" TargetMode="External"/><Relationship Id="rId15" Type="http://schemas.openxmlformats.org/officeDocument/2006/relationships/hyperlink" Target="https://stack-production-d2a4.up.railway.app/review" TargetMode="External"/><Relationship Id="rId16" Type="http://schemas.openxmlformats.org/officeDocument/2006/relationships/hyperlink" Target="https://github.com/MelvTheGoat/Nigerian-Fintech-Compliance-RAG" TargetMode="External"/><Relationship Id="rId17" Type="http://schemas.openxmlformats.org/officeDocument/2006/relationships/hyperlink" Target="https://nigerian-fintech-regulation-assistant-474115007874.europe-west1.run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