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analyst with a B.Sc. in Statistics and internal audit experience. Built fraud detection that breaks results down by card testing, account takeover and merchant compromise, an explainable risk scorer with a reason for every point, and a reconciliation system that flags duplicate settlements. Reviewed transaction records for irregularities as an auditor.</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Payment Reconciliation, Web3 Fraud Risk Scoring, Credit Risk Decisioning, Double-Entry Ledgers and Idempotency, Regulatory Compliance (CBN/NDPA), Demand Forecasting</w:t>
      </w:r>
    </w:p>
    <w:p>
      <w:pPr>
        <w:spacing w:after="30" w:before="0"/>
      </w:pPr>
      <w:r>
        <w:rPr>
          <w:b/>
          <w:sz w:val="19"/>
        </w:rPr>
        <w:t xml:space="preserve">Data Analysis: </w:t>
      </w:r>
      <w:r>
        <w:rPr>
          <w:sz w:val="19"/>
        </w:rPr>
        <w:t>SQL, Pandas, Anomaly Detection, NumPy</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tabs>
          <w:tab w:pos="10224" w:val="right"/>
        </w:tabs>
        <w:spacing w:after="20" w:before="10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