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Machine Learning Engineer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Machine learning engineer who builds and deploys production ML. Built a demand forecasting platform with backtesting, drift monitoring and cost-optimal forecasts, a fraud model served at 5.1 ms p99, and an uplift model for targeting, all deployed with FastAPI and Docker.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Payments and Risk: </w:t>
      </w:r>
      <w:r>
        <w:rPr>
          <w:sz w:val="19"/>
        </w:rPr>
        <w:t>Demand Forecasting, Transaction Fraud Detection, Credit Risk Decisioning, Payment Reconciliation, Double-Entry Ledgers and Idempotency, Regulatory Compliance (CBN/NDPA), Web3 Fraud Risk Scoring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LightGBM, PyTorch, XGBoost, Feature Engineering, Scikit-learn, Deep Learning, Sequence Models (GRU, TCN, Transformers), Model Calibration (Isotonic Regression, Temperature Scaling), SHAP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Python, FastAPI, Docker, Prefect, MLflow, CI/CD (GitHub Actions), SQL, DuckDB, PostgreSQL, Redis, GCP Cloud Run, AWS ECS Fargate, Railway, dbt-core, Evidently, Git, Pytest, Streamlit, React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Experiment Design, Uplift Modeling, Statistical Inference, Power Analysis, CUPED, Causal Inference (S/T/X-Learners, Causal Forests), Qini and AUUC, Time-Series Backtesting, Logistic Regression, WOE Scorecards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Pandas, NumPy, SQL, Anomaly Detection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Retrieval-Augmented Generation (RAG), Hybrid Search (BM25, Dense Embeddings, RRF), LLM Evaluation and Guardrails, Prompt Engineering, Citation Verification, Model Context Protocol (MCP), Hugging Face, ONNX Runtime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Self-Operating Demand Forecasting Platform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Prefect, dbt-core, DuckDB, LightGBM, MLflow, Evidently, FastAPI,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Built an end-to-end hourly demand forecasting system for NYC taxi zones, producing 24-hour quantile forecasts through an orchestrated Prefect pipeline spanning ingestion, dbt/DuckDB transformations, backtesting, drift monitoring and conditional retraining.</w:t>
      </w:r>
    </w:p>
    <w:p>
      <w:pPr>
        <w:pStyle w:val="ListBullet"/>
        <w:spacing w:after="30"/>
        <w:ind w:left="317"/>
      </w:pPr>
      <w:r>
        <w:rPr>
          <w:sz w:val="19"/>
        </w:rPr>
        <w:t>Modelled asymmetric business cost by penalising unmet demand at 3× idle supply and shipping the cost-optimal quantile rather than the median, cutting expected cost by 25% on an identical model and beating a seasonal-naive baseline by 32%.</w:t>
      </w:r>
    </w:p>
    <w:p>
      <w:pPr>
        <w:pStyle w:val="ListBullet"/>
        <w:spacing w:after="30"/>
        <w:ind w:left="317"/>
      </w:pPr>
      <w:r>
        <w:rPr>
          <w:sz w:val="19"/>
        </w:rPr>
        <w:t>Validated with rolling-origin backtesting across 6 expanding-window folds against seasonal-naive and historical-mean baselines, reporting MASE and pinball loss, with automated leakage tests that fail the build if any feature reads past the forecast origin.</w:t>
      </w:r>
    </w:p>
    <w:p>
      <w:pPr>
        <w:spacing w:after="0" w:before="100"/>
      </w:pPr>
      <w:r>
        <w:rPr>
          <w:b/>
          <w:sz w:val="20"/>
        </w:rPr>
        <w:t>Sequence-Based Transaction Fraud Detection System</w:t>
      </w:r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LightGBM, ONNX Runtime, FastAPI, Docker, SHAP</w:t>
      </w:r>
    </w:p>
    <w:p>
      <w:pPr>
        <w:pStyle w:val="ListBullet"/>
        <w:spacing w:after="30"/>
        <w:ind w:left="317"/>
      </w:pPr>
      <w:r>
        <w:rPr>
          <w:sz w:val="19"/>
        </w:rPr>
        <w:t>Benchmarked all architectures against a strong LightGBM baseline on engineered velocity and deviation features, reporting PR-AUC and precision at fixed review capacity (top 0.1%, 0.5%, 1%) across 3 seeds, with a per-attack-type breakdown covering card testing, account takeover and merchant compromise; sequence models cut expected cost per transaction 27% under an explicit cost model.</w:t>
      </w:r>
    </w:p>
    <w:p>
      <w:pPr>
        <w:pStyle w:val="ListBullet"/>
        <w:spacing w:after="30"/>
        <w:ind w:left="317"/>
      </w:pPr>
      <w:r>
        <w:rPr>
          <w:sz w:val="19"/>
        </w:rPr>
        <w:t>Deployed real-time scoring by exporting to ONNX Runtime (2.9× faster than eager PyTorch at batch size 1) and serving via FastAPI, reaching 5.1 ms p99 end-to-end latency against a 50 ms budget, with append-only per-decision audit logging and attention-based attribution of the prior transactions driving each flag.</w:t>
      </w:r>
    </w:p>
    <w:p>
      <w:pPr>
        <w:spacing w:after="0" w:before="100"/>
      </w:pPr>
      <w:r>
        <w:rPr>
          <w:b/>
          <w:sz w:val="20"/>
        </w:rPr>
        <w:t>Uplift Modelling for Campaign Targeting</w:t>
      </w:r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scikit-learn, LightGBM, EconML, pytest, GitHub Actions</w:t>
      </w:r>
    </w:p>
    <w:p>
      <w:pPr>
        <w:pStyle w:val="ListBullet"/>
        <w:spacing w:after="30"/>
        <w:ind w:left="317"/>
      </w:pPr>
      <w:r>
        <w:rPr>
          <w:sz w:val="19"/>
        </w:rPr>
        <w:t>Ran a causal inference study on the Hillstrom randomised e-mail trial (64,000 customers) to decide which customers to contact under a fixed budget, delivered as a two-page decision memo for a marketing director.</w:t>
      </w:r>
    </w:p>
    <w:p>
      <w:pPr>
        <w:pStyle w:val="ListBullet"/>
        <w:spacing w:after="30"/>
        <w:ind w:left="317"/>
      </w:pPr>
      <w:r>
        <w:rPr>
          <w:sz w:val="19"/>
        </w:rPr>
        <w:t>Showed the campaign works (1.25% conversion against 0.57%) but that a non-randomised list overstates the effect by 7.5×, and that a response model mails five times as many customers the campaign harms as an uplift model does.</w:t>
      </w:r>
    </w:p>
    <w:p>
      <w:pPr>
        <w:pStyle w:val="ListBullet"/>
        <w:spacing w:after="30"/>
        <w:ind w:left="317"/>
      </w:pPr>
      <w:r>
        <w:rPr>
          <w:sz w:val="19"/>
        </w:rPr>
        <w:t>Added a power and MDE calculator and a CUPED variance-reduction demo; 135 tests on synthetic data with CI on Python 3.10 to 3.12.</w:t>
      </w:r>
    </w:p>
    <w:p>
      <w:pPr>
        <w:spacing w:after="0" w:before="100"/>
      </w:pPr>
      <w:r>
        <w:rPr>
          <w:b/>
          <w:sz w:val="20"/>
        </w:rPr>
        <w:t>Telco Customer Churn, End to End on AWS</w:t>
      </w:r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XGBoost, MLflow, FastAPI, Gradio, Docker, GitHub Actions, AWS ECS Fargate, Application Load Balancer, CloudWatch</w:t>
      </w:r>
    </w:p>
    <w:p>
      <w:pPr>
        <w:pStyle w:val="ListBullet"/>
        <w:spacing w:after="30"/>
        <w:ind w:left="317"/>
      </w:pPr>
      <w:r>
        <w:rPr>
          <w:sz w:val="19"/>
        </w:rPr>
        <w:t>Served it through a FastAPI /predict endpoint with a Gradio UI, containerised with Docker and deployed on AWS ECS Fargate behind an Application Load Balancer, with CloudWatch logs and GitHub Actions CI/CD.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nyc-taxi-demand-forecast" TargetMode="External"/><Relationship Id="rId12" Type="http://schemas.openxmlformats.org/officeDocument/2006/relationships/hyperlink" Target="https://github.com/MelvTheGoat/Fraud-Detection-With-Sequence-Models" TargetMode="External"/><Relationship Id="rId13" Type="http://schemas.openxmlformats.org/officeDocument/2006/relationships/hyperlink" Target="https://github.com/MelvTheGoat/Uplift-Modelling-Decision" TargetMode="External"/><Relationship Id="rId14" Type="http://schemas.openxmlformats.org/officeDocument/2006/relationships/hyperlink" Target="https://github.com/MelvTheGoat/Customer-Chur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