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Data Scientist, Machine Learning and Statistics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Data scientist focused on evaluation and data quality for ML and AI systems. Built a labelled golden set for a retrieval assistant, a hand-checked evaluation set for a crypto risk tool, and fraud and abuse models judged by attack type. Builds Python and SQL pipelines and human review tools.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LLM Evaluation and Guardrails, Citation Verification, Prompt Engineering, Retrieval-Augmented Generation (RAG), Hybrid Search (BM25, Dense Embeddings, RRF), Model Context Protocol (MCP), Hugging Face, ONNX Runtime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Web3 Fraud Risk Scoring, Credit Risk Decisioning, Payment Reconciliation, Double-Entry Ledgers and Idempotency, Regulatory Compliance (CBN/NDPA), Demand Forecasting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SQL, DuckDB, PostgreSQL, Redis, FastAPI, Docker, GCP Cloud Run, AWS ECS Fargate, Railway,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Scikit-learn, LightGBM, XGBoost, Deep Learning, Sequence Models (GRU, TCN, Transformers),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Designed generation to fail safely under uncertainty: a sentinel-token refusal mechanism enforced across the prompt, output guardrail and evaluation harness, plus post-generation citation verification that strips any marker the model cited but never retrieved.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Assembled an evaluation set of 34 hand-checked addresses (12 risky, 22 safe) with a record and replay harness reporting ROC AUC, precision and recall.</w:t>
      </w:r>
    </w:p>
    <w:p>
      <w:pPr>
        <w:pStyle w:val="ListBullet"/>
        <w:spacing w:after="30"/>
        <w:ind w:left="317"/>
      </w:pPr>
      <w:r>
        <w:rPr>
          <w:sz w:val="19"/>
        </w:rPr>
        <w:t>Designed a rule-based, fully explainable scorer where findings carry stable IDs and decisive findings set a floor of 75 so trust signals can never hide them; each score carries a confidence level based on how many sources answered.</w:t>
      </w:r>
    </w:p>
    <w:p>
      <w:pPr>
        <w:spacing w:after="0" w:before="10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Benchmarked all architectures against a strong LightGBM baseline on engineered velocity and deviation features, reporting PR-AUC and precision at fixed review capacity (top 0.1%, 0.5%, 1%) across 3 seeds, with a per-attack-type breakdown covering card testing, account takeover and merchant compromise; sequence models cut expected cost per transaction 27% under an explicit cost model.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spacing w:after="0" w:before="100"/>
      </w:pPr>
      <w:r>
        <w:rPr>
          <w:b/>
          <w:sz w:val="20"/>
        </w:rPr>
        <w:t>Reckon: Payment Reconciliation and Review System</w:t>
      </w:r>
      <w:r>
        <w:rPr>
          <w:sz w:val="19"/>
        </w:rPr>
        <w:t xml:space="preserve">  |  </w:t>
      </w:r>
      <w:hyperlink r:id="rId15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6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DuckDB, FastAPI, React, Docker, Railway, PostgreSQL</w:t>
      </w:r>
    </w:p>
    <w:p>
      <w:pPr>
        <w:pStyle w:val="ListBullet"/>
        <w:spacing w:after="30"/>
        <w:ind w:left="317"/>
      </w:pPr>
      <w:r>
        <w:rPr>
          <w:sz w:val="19"/>
        </w:rPr>
        <w:t>Designed a human-in-the-loop review interface in React showing match confidence scores, audit trails and suggested resolution actions to streamline exception handling.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Nigerian-Fintech-Compliance-RAG" TargetMode="External"/><Relationship Id="rId12" Type="http://schemas.openxmlformats.org/officeDocument/2006/relationships/hyperlink" Target="https://nigerian-fintech-regulation-assistant-474115007874.europe-west1.run.app/" TargetMode="External"/><Relationship Id="rId13" Type="http://schemas.openxmlformats.org/officeDocument/2006/relationships/hyperlink" Target="https://github.com/MelvTheGoat/web3-risk-mcp" TargetMode="External"/><Relationship Id="rId14" Type="http://schemas.openxmlformats.org/officeDocument/2006/relationships/hyperlink" Target="https://github.com/MelvTheGoat/Fraud-Detection-With-Sequence-Models" TargetMode="External"/><Relationship Id="rId15" Type="http://schemas.openxmlformats.org/officeDocument/2006/relationships/hyperlink" Target="https://github.com/MelvTheGoat/Stack" TargetMode="External"/><Relationship Id="rId16" Type="http://schemas.openxmlformats.org/officeDocument/2006/relationships/hyperlink" Target="https://stack-production-d2a4.up.railway.app/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