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Credit and Fraud Risk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Credit risk data scientist with a B.Sc. in Statistics. Built a credit decisioning system with calibrated default probabilities, cost-optimal approve and decline cutoffs, reason codes and a fairness audit, and compared gradient boosting with a WOE scorecard. Works in Python, SQL and dbt.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Credit Risk Decisioning, Transaction Fraud Detection, Payment Reconciliation,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WOE Scorecards, Logistic Regression, Experiment Design, Statistical Inference, Power Analysis, CUPED, Causal Inference (S/T/X-Learners, Causal Forests), Uplift Modeling, Qini and AUUC, Time-Series Backtesting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LightGBM, SHAP, Model Calibration (Isotonic Regression, Temperature Scaling), PyTorch, Scikit-learn, XGBoost, Deep Learning, Sequence Models (GRU, TCN, Transformers), Feature Engineering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dbt-core, Git, DuckDB, PostgreSQL, Redis, FastAPI, Docker, GCP Cloud Run, AWS ECS Fargate, Railway, Prefect, MLflow, Evidently, CI/CD (GitHub Actions),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pStyle w:val="ListBullet"/>
        <w:spacing w:after="30"/>
        <w:ind w:left="317"/>
      </w:pPr>
      <w:r>
        <w:rPr>
          <w:sz w:val="19"/>
        </w:rPr>
        <w:t>Audited fairness across sex, age, education and marital status using demographic parity and equal opportunity differences plus within-group calibration, and presented the accuracy and fairness tradeoff curve as a policy decision rather than silently optimising it away.</w:t>
      </w:r>
    </w:p>
    <w:p>
      <w:pPr>
        <w:spacing w:after="0" w:before="10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Modelled asymmetric business cost by penalising unmet demand at 3× idle supply and shipping the cost-optimal quantile rather than the median, cutting expected cost by 25% on an identical model and beating a seasonal-naive baseline by 32%.</w:t>
      </w:r>
    </w:p>
    <w:p>
      <w:pPr>
        <w:pStyle w:val="ListBullet"/>
        <w:spacing w:after="30"/>
        <w:ind w:left="317"/>
      </w:pPr>
      <w:r>
        <w:rPr>
          <w:sz w:val="19"/>
        </w:rPr>
        <w:t>Validated with rolling-origin backtesting across 6 expanding-window folds against seasonal-naive and historical-mean baselines, reporting MASE and pinball loss, with automated leakage tests that fail the build if any feature reads past the forecast origin.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Credit-Risk-Decisioning" TargetMode="External"/><Relationship Id="rId12" Type="http://schemas.openxmlformats.org/officeDocument/2006/relationships/hyperlink" Target="https://credit-risk-decisioning-702657773047.europe-west1.run.app/" TargetMode="External"/><Relationship Id="rId13" Type="http://schemas.openxmlformats.org/officeDocument/2006/relationships/hyperlink" Target="https://github.com/MelvTheGoat/Uplift-Modelling-Decision" TargetMode="External"/><Relationship Id="rId14" Type="http://schemas.openxmlformats.org/officeDocument/2006/relationships/hyperlink" Target="https://github.com/MelvTheGoat/nyc-taxi-demand-forecast" TargetMode="External"/><Relationship Id="rId15" Type="http://schemas.openxmlformats.org/officeDocument/2006/relationships/hyperlink" Target="https://github.com/MelvTheGoat/Fraud-Detection-With-Sequence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