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AI Engineer, LLM and Retrieval Systems</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AI engineer working where machine learning meets crypto. Built an open-source MCP server that gives AI assistants on-chain risk tools across five chains, a retrieval assistant with evaluated guardrails, and statistical models taken from idea to tested prototype. B.Sc. in Statistics.</w:t>
      </w:r>
    </w:p>
    <w:p>
      <w:pPr>
        <w:spacing w:after="60" w:before="180"/>
        <w:pBdr>
          <w:bottom w:val="single" w:sz="6" w:space="1" w:color="808080"/>
        </w:pBdr>
      </w:pPr>
      <w:r>
        <w:rPr>
          <w:b/>
          <w:i w:val="0"/>
          <w:color w:val="1F3864"/>
          <w:sz w:val="21"/>
        </w:rPr>
        <w:t>SKILLS</w:t>
      </w:r>
    </w:p>
    <w:p>
      <w:pPr>
        <w:spacing w:after="30" w:before="0"/>
      </w:pPr>
      <w:r>
        <w:rPr>
          <w:b/>
          <w:sz w:val="19"/>
        </w:rPr>
        <w:t xml:space="preserve">AI and LLM Systems: </w:t>
      </w:r>
      <w:r>
        <w:rPr>
          <w:sz w:val="19"/>
        </w:rPr>
        <w:t>Model Context Protocol (MCP), LLM Evaluation and Guardrails, Retrieval-Augmented Generation (RAG), Hybrid Search (BM25, Dense Embeddings, RRF), Prompt Engineering, Citation Verification, Hugging Face, ONNX Runtime</w:t>
      </w:r>
    </w:p>
    <w:p>
      <w:pPr>
        <w:spacing w:after="30" w:before="0"/>
      </w:pPr>
      <w:r>
        <w:rPr>
          <w:b/>
          <w:sz w:val="19"/>
        </w:rPr>
        <w:t xml:space="preserve">Payments and Risk: </w:t>
      </w:r>
      <w:r>
        <w:rPr>
          <w:sz w:val="19"/>
        </w:rPr>
        <w:t>Web3 Fraud Risk Scoring, Transaction Fraud Detection, Credit Risk Decisioning, Payment Reconciliation, Double-Entry Ledgers and Idempotency, Regulatory Compliance (CBN/NDPA), Demand Forecasting</w:t>
      </w:r>
    </w:p>
    <w:p>
      <w:pPr>
        <w:spacing w:after="30" w:before="0"/>
      </w:pPr>
      <w:r>
        <w:rPr>
          <w:b/>
          <w:sz w:val="19"/>
        </w:rPr>
        <w:t xml:space="preserve">Statistics and Causal Inference: </w:t>
      </w:r>
      <w:r>
        <w:rPr>
          <w:sz w:val="19"/>
        </w:rPr>
        <w:t>Causal Inference (S/T/X-Learners, Causal Forests), Statistical Inference, Experiment Design, Power Analysis, CUPED, Uplift Modeling, Qini and AUUC, Time-Series Backtesting, Logistic Regression, WOE Scorecards</w:t>
      </w:r>
    </w:p>
    <w:p>
      <w:pPr>
        <w:spacing w:after="30" w:before="0"/>
      </w:pPr>
      <w:r>
        <w:rPr>
          <w:b/>
          <w:sz w:val="19"/>
        </w:rPr>
        <w:t xml:space="preserve">Machine Learning: </w:t>
      </w:r>
      <w:r>
        <w:rPr>
          <w:sz w:val="19"/>
        </w:rPr>
        <w:t>PyTorch, Sequence Models (GRU, TCN, Transformers), Scikit-learn, LightGBM, XGBoost, Deep Learning, Model Calibration (Isotonic Regression, Temperature Scaling), SHAP, Feature Engineering</w:t>
      </w:r>
    </w:p>
    <w:p>
      <w:pPr>
        <w:spacing w:after="30" w:before="0"/>
      </w:pPr>
      <w:r>
        <w:rPr>
          <w:b/>
          <w:sz w:val="19"/>
        </w:rPr>
        <w:t xml:space="preserve">Engineering and MLOps: </w:t>
      </w:r>
      <w:r>
        <w:rPr>
          <w:sz w:val="19"/>
        </w:rPr>
        <w:t>Python, SQL, DuckDB, PostgreSQL, Redis, FastAPI, Docker, GCP Cloud Run, AWS ECS Fargate, Railway, Prefect, dbt-core, MLflow, Evidently, CI/CD (GitHub Actions), Git, Pytest, Streamlit, React</w:t>
      </w:r>
    </w:p>
    <w:p>
      <w:pPr>
        <w:spacing w:after="30" w:before="0"/>
      </w:pPr>
      <w:r>
        <w:rPr>
          <w:b/>
          <w:sz w:val="19"/>
        </w:rPr>
        <w:t xml:space="preserve">Data Analysis: </w:t>
      </w:r>
      <w:r>
        <w:rPr>
          <w:sz w:val="19"/>
        </w:rPr>
        <w:t>Pandas, NumPy, SQL, Anomaly Detection</w:t>
      </w:r>
    </w:p>
    <w:p>
      <w:pPr>
        <w:spacing w:after="60" w:before="180"/>
        <w:pBdr>
          <w:bottom w:val="single" w:sz="6" w:space="1" w:color="808080"/>
        </w:pBdr>
      </w:pPr>
      <w:r>
        <w:rPr>
          <w:b/>
          <w:i w:val="0"/>
          <w:color w:val="1F3864"/>
          <w:sz w:val="21"/>
        </w:rPr>
        <w:t>PROJECTS</w:t>
      </w:r>
    </w:p>
    <w:p>
      <w:pPr>
        <w:spacing w:after="0" w:before="0"/>
      </w:pPr>
      <w:r>
        <w:rPr>
          <w:b/>
          <w:sz w:val="20"/>
        </w:rPr>
        <w:t>web3-risk-mcp: Web3 Fraud Risk MCP Server</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Built an MCP server that gives AI assistants (Claude Desktop, Cursor) six read-only tools to check a crypto wallet, token or smart contract for risk before anyone interacts with it, returning a 0 to 100 risk score with a reason for every point, across Ethereum, Base, Arbitrum One, Polygon PoS and BNB Chain.</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pStyle w:val="ListBullet"/>
        <w:spacing w:after="30"/>
        <w:ind w:left="317"/>
      </w:pPr>
      <w:r>
        <w:rPr>
          <w:sz w:val="19"/>
        </w:rPr>
        <w:t>Designed a rule-based, fully explainable scorer where findings carry stable IDs and decisive findings set a floor of 75 so trust signals can never hide them; each score carries a confidence level based on how many sources answered.</w:t>
      </w:r>
    </w:p>
    <w:p>
      <w:pPr>
        <w:pStyle w:val="ListBullet"/>
        <w:spacing w:after="30"/>
        <w:ind w:left="317"/>
      </w:pPr>
      <w:r>
        <w:rPr>
          <w:sz w:val="19"/>
        </w:rPr>
        <w:t>Assembled an evaluation set of 34 hand-checked addresses (12 risky, 22 safe) with a record and replay harness reporting ROC AUC, precision and recall.</w:t>
      </w:r>
    </w:p>
    <w:p>
      <w:pPr>
        <w:spacing w:after="0" w:before="100"/>
      </w:pPr>
      <w:r>
        <w:rPr>
          <w:b/>
          <w:sz w:val="20"/>
        </w:rPr>
        <w:t>Uplift Modelling for Campaign Targeting</w:t>
      </w:r>
      <w:r>
        <w:rPr>
          <w:sz w:val="19"/>
        </w:rPr>
        <w:t xml:space="preserve">  |  </w:t>
      </w:r>
      <w:hyperlink r:id="rId12">
        <w:r>
          <w:rPr>
            <w:rFonts w:ascii="Arial" w:hAnsi="Arial"/>
            <w:color w:val="1F4E79"/>
            <w:u w:val="single"/>
            <w:sz w:val="19"/>
          </w:rPr>
          <w:t>GitHub</w:t>
        </w:r>
      </w:hyperlink>
    </w:p>
    <w:p>
      <w:pPr>
        <w:spacing w:after="30" w:before="0"/>
      </w:pPr>
      <w:r>
        <w:rPr>
          <w:b w:val="0"/>
          <w:i/>
          <w:color w:val="404040"/>
          <w:sz w:val="18"/>
        </w:rPr>
        <w:t>Tech: Python, scikit-learn, LightGBM, EconML, pytest, GitHub Actions</w:t>
      </w:r>
    </w:p>
    <w:p>
      <w:pPr>
        <w:pStyle w:val="ListBullet"/>
        <w:spacing w:after="30"/>
        <w:ind w:left="317"/>
      </w:pPr>
      <w:r>
        <w:rPr>
          <w:sz w:val="19"/>
        </w:rPr>
        <w:t>Hand-implemented S-, T- and X-learners over a swappable scikit-learn and LightGBM base plus an EconML causal forest, validated first on synthetic data with a known individual treatment effect.</w:t>
      </w:r>
    </w:p>
    <w:p>
      <w:pPr>
        <w:pStyle w:val="ListBullet"/>
        <w:spacing w:after="30"/>
        <w:ind w:left="317"/>
      </w:pPr>
      <w:r>
        <w:rPr>
          <w:sz w:val="19"/>
        </w:rPr>
        <w:t>Ran a causal inference study on the Hillstrom randomised e-mail trial (64,000 customers) to decide which customers to contact under a fixed budget, delivered as a two-page decision memo for a marketing director.</w:t>
      </w:r>
    </w:p>
    <w:p>
      <w:pPr>
        <w:spacing w:after="0" w:before="100"/>
      </w:pPr>
      <w:r>
        <w:rPr>
          <w:b/>
          <w:sz w:val="20"/>
        </w:rPr>
        <w:t>Sequence-Based Transaction Fraud Detection System</w:t>
      </w:r>
      <w:r>
        <w:rPr>
          <w:sz w:val="19"/>
        </w:rPr>
        <w:t xml:space="preserve">  |  </w:t>
      </w:r>
      <w:hyperlink r:id="rId13">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Built and compared three deep sequence architectures (GRU, Temporal Convolutional Network and a causally masked Transformer encoder) over customer transaction histories, with learned embeddings for high-cardinality merchant (~2.9k vocabulary), MCC and device-type categoricals; all models under 115k parameters and CPU-trainable in under 6 minutes.</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spacing w:after="0" w:before="100"/>
      </w:pPr>
      <w:r>
        <w:rPr>
          <w:b/>
          <w:sz w:val="20"/>
        </w:rPr>
        <w:t>Fintech Compliance RAG Assistant</w:t>
      </w:r>
      <w:r>
        <w:rPr>
          <w:sz w:val="19"/>
        </w:rPr>
        <w:t xml:space="preserve">  |  </w:t>
      </w:r>
      <w:hyperlink r:id="rId14">
        <w:r>
          <w:rPr>
            <w:rFonts w:ascii="Arial" w:hAnsi="Arial"/>
            <w:color w:val="1F4E79"/>
            <w:u w:val="single"/>
            <w:sz w:val="19"/>
          </w:rPr>
          <w:t>GitHub</w:t>
        </w:r>
      </w:hyperlink>
      <w:r>
        <w:rPr>
          <w:sz w:val="19"/>
        </w:rPr>
        <w:t xml:space="preserve">  |  </w:t>
      </w:r>
      <w:hyperlink r:id="rId15">
        <w:r>
          <w:rPr>
            <w:rFonts w:ascii="Arial" w:hAnsi="Arial"/>
            <w:color w:val="1F4E79"/>
            <w:u w:val="single"/>
            <w:sz w:val="19"/>
          </w:rPr>
          <w:t>Live App</w:t>
        </w:r>
      </w:hyperlink>
    </w:p>
    <w:p>
      <w:pPr>
        <w:spacing w:after="30" w:before="0"/>
      </w:pPr>
      <w:r>
        <w:rPr>
          <w:b w:val="0"/>
          <w:i/>
          <w:color w:val="404040"/>
          <w:sz w:val="18"/>
        </w:rPr>
        <w:t>Tech: Python, Streamlit, BM25, ONNX Runtime, Reciprocal Rank Fusion, FastAPI, Docker, GCP Cloud Run</w:t>
      </w:r>
    </w:p>
    <w:p>
      <w:pPr>
        <w:pStyle w:val="ListBullet"/>
        <w:spacing w:after="30"/>
        <w:ind w:left="317"/>
      </w:pPr>
      <w:r>
        <w:rPr>
          <w:sz w:val="19"/>
        </w:rPr>
        <w:t>Built and deployed a regulatory question-answering system over central bank (CBN) circulars and the NDPA, combining sparse (BM25) and dense (ONNX-served MiniLM) retrieval fused via reciprocal rank fusion, reaching 0.96 recall@5 and 0.842 MRR on a 50-question labelled golden set with zero retrieval misses in the top 10.</w:t>
      </w:r>
    </w:p>
    <w:p>
      <w:pPr>
        <w:pStyle w:val="ListBullet"/>
        <w:spacing w:after="30"/>
        <w:ind w:left="317"/>
      </w:pPr>
      <w:r>
        <w:rPr>
          <w:sz w:val="19"/>
        </w:rPr>
        <w:t>Ran retrieval and generation evaluation as separate metrics to localise failure by component; traced a 0.40 refusal-correctness result to a lexical-overlap limitation in the offline stub judge and flagged re-validation against a live provider as the next step instead of overstating readiness.</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web3-risk-mcp" TargetMode="External"/><Relationship Id="rId12" Type="http://schemas.openxmlformats.org/officeDocument/2006/relationships/hyperlink" Target="https://github.com/MelvTheGoat/Uplift-Modelling-Decision" TargetMode="External"/><Relationship Id="rId13" Type="http://schemas.openxmlformats.org/officeDocument/2006/relationships/hyperlink" Target="https://github.com/MelvTheGoat/Fraud-Detection-With-Sequence-Models" TargetMode="External"/><Relationship Id="rId14" Type="http://schemas.openxmlformats.org/officeDocument/2006/relationships/hyperlink" Target="https://github.com/MelvTheGoat/Nigerian-Fintech-Compliance-RAG" TargetMode="External"/><Relationship Id="rId15" Type="http://schemas.openxmlformats.org/officeDocument/2006/relationships/hyperlink" Target="https://nigerian-fintech-regulation-assistant-474115007874.europe-west1.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