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Scientist, Machine Learning and Statistics</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Data scientist focused on data quality and evaluation for AI. Built labelled evaluation sets for an LLM retrieval assistant and a crypto risk tool, a structure-aware document chunking method for LLM retrieval, and fraud models with careful handling of class imbalance. Works in Python with pandas, scikit-learn and Hugging Face.</w:t>
      </w:r>
    </w:p>
    <w:p>
      <w:pPr>
        <w:spacing w:after="60" w:before="180"/>
        <w:pBdr>
          <w:bottom w:val="single" w:sz="6" w:space="1" w:color="808080"/>
        </w:pBdr>
      </w:pPr>
      <w:r>
        <w:rPr>
          <w:b/>
          <w:i w:val="0"/>
          <w:color w:val="1F3864"/>
          <w:sz w:val="21"/>
        </w:rPr>
        <w:t>SKILLS</w:t>
      </w:r>
    </w:p>
    <w:p>
      <w:pPr>
        <w:spacing w:after="30" w:before="0"/>
      </w:pPr>
      <w:r>
        <w:rPr>
          <w:b/>
          <w:sz w:val="19"/>
        </w:rPr>
        <w:t xml:space="preserve">AI and LLM Systems: </w:t>
      </w:r>
      <w:r>
        <w:rPr>
          <w:sz w:val="19"/>
        </w:rPr>
        <w:t>LLM Evaluation and Guardrails, Hugging Face, Retrieval-Augmented Generation (RAG), Prompt Engineering, Citation Verification, Hybrid Search (BM25, Dense Embeddings, RRF), Model Context Protocol (MCP), ONNX Runtime</w:t>
      </w:r>
    </w:p>
    <w:p>
      <w:pPr>
        <w:spacing w:after="30" w:before="0"/>
      </w:pPr>
      <w:r>
        <w:rPr>
          <w:b/>
          <w:sz w:val="19"/>
        </w:rPr>
        <w:t xml:space="preserve">Data Analysis: </w:t>
      </w:r>
      <w:r>
        <w:rPr>
          <w:sz w:val="19"/>
        </w:rPr>
        <w:t>Pandas, NumPy, SQL, Anomaly Detection</w:t>
      </w:r>
    </w:p>
    <w:p>
      <w:pPr>
        <w:spacing w:after="30" w:before="0"/>
      </w:pPr>
      <w:r>
        <w:rPr>
          <w:b/>
          <w:sz w:val="19"/>
        </w:rPr>
        <w:t xml:space="preserve">Machine Learning: </w:t>
      </w:r>
      <w:r>
        <w:rPr>
          <w:sz w:val="19"/>
        </w:rPr>
        <w:t>Scikit-learn, PyTorch, LightGBM, XGBoost, Deep Learning, Sequence Models (GRU, TCN, Transformers), Model Calibration (Isotonic Regression, Temperature Scaling), SHAP, Feature Engineering</w:t>
      </w:r>
    </w:p>
    <w:p>
      <w:pPr>
        <w:spacing w:after="30" w:before="0"/>
      </w:pPr>
      <w:r>
        <w:rPr>
          <w:b/>
          <w:sz w:val="19"/>
        </w:rPr>
        <w:t xml:space="preserve">Payments and Risk: </w:t>
      </w:r>
      <w:r>
        <w:rPr>
          <w:sz w:val="19"/>
        </w:rPr>
        <w:t>Web3 Fraud Risk Scoring, Transaction Fraud Detection, Credit Risk Decisioning, Payment Reconciliation, Double-Entry Ledgers and Idempotency, Regulatory Compliance (CBN/NDPA), Demand Forecasting</w:t>
      </w:r>
    </w:p>
    <w:p>
      <w:pPr>
        <w:spacing w:after="30" w:before="0"/>
      </w:pPr>
      <w:r>
        <w:rPr>
          <w:b/>
          <w:sz w:val="19"/>
        </w:rPr>
        <w:t xml:space="preserve">Engineering and MLOps: </w:t>
      </w:r>
      <w:r>
        <w:rPr>
          <w:sz w:val="19"/>
        </w:rPr>
        <w:t>Python, SQL, DuckDB, PostgreSQL, Redis, FastAPI, Docker, GCP Cloud Run, AWS ECS Fargate, Railway, Prefect, dbt-core, MLflow, Evidently, CI/CD (GitHub Actions), Git, Pytest, Streamlit, React</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60" w:before="180"/>
        <w:pBdr>
          <w:bottom w:val="single" w:sz="6" w:space="1" w:color="808080"/>
        </w:pBdr>
      </w:pPr>
      <w:r>
        <w:rPr>
          <w:b/>
          <w:i w:val="0"/>
          <w:color w:val="1F3864"/>
          <w:sz w:val="21"/>
        </w:rPr>
        <w:t>PROJECTS</w:t>
      </w:r>
    </w:p>
    <w:p>
      <w:pPr>
        <w:spacing w:after="0" w:before="0"/>
      </w:pPr>
      <w:r>
        <w:rPr>
          <w:b/>
          <w:sz w:val="20"/>
        </w:rPr>
        <w:t>Fintech Compliance RAG Assistant</w:t>
      </w:r>
      <w:r>
        <w:rPr>
          <w:sz w:val="19"/>
        </w:rPr>
        <w:t xml:space="preserve">  |  </w:t>
      </w:r>
      <w:hyperlink r:id="rId11">
        <w:r>
          <w:rPr>
            <w:rFonts w:ascii="Arial" w:hAnsi="Arial"/>
            <w:color w:val="1F4E79"/>
            <w:u w:val="single"/>
            <w:sz w:val="19"/>
          </w:rPr>
          <w:t>GitHub</w:t>
        </w:r>
      </w:hyperlink>
      <w:r>
        <w:rPr>
          <w:sz w:val="19"/>
        </w:rPr>
        <w:t xml:space="preserve">  |  </w:t>
      </w:r>
      <w:hyperlink r:id="rId12">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Engineered section-aware chunking that never merges across a document's own structural boundaries, keeping every citation attributable to exactly one clause, and validated it against a structure-blind fixed-window baseline rather than asserting it was better.</w:t>
      </w:r>
    </w:p>
    <w:p>
      <w:pPr>
        <w:pStyle w:val="ListBullet"/>
        <w:spacing w:after="30"/>
        <w:ind w:left="317"/>
      </w:pPr>
      <w:r>
        <w:rPr>
          <w:sz w:val="19"/>
        </w:rPr>
        <w:t>Ran retrieval and generation evaluation as separate metrics to localise failure by component; traced a 0.40 refusal-correctness result to a lexical-overlap limitation in the offline stub judge and flagged re-validation against a live provider as the next step instead of overstating readiness.</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spacing w:after="0" w:before="100"/>
      </w:pPr>
      <w:r>
        <w:rPr>
          <w:b/>
          <w:sz w:val="20"/>
        </w:rPr>
        <w:t>web3-risk-mcp: Web3 Fraud Risk MCP Server</w:t>
      </w:r>
      <w:r>
        <w:rPr>
          <w:sz w:val="19"/>
        </w:rPr>
        <w:t xml:space="preserve">  |  </w:t>
      </w:r>
      <w:hyperlink r:id="rId13">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Assembled an evaluation set of 34 hand-checked addresses (12 risky, 22 safe) with a record and replay harness reporting ROC AUC, precision and recall.</w:t>
      </w:r>
    </w:p>
    <w:p>
      <w:pPr>
        <w:pStyle w:val="ListBullet"/>
        <w:spacing w:after="30"/>
        <w:ind w:left="317"/>
      </w:pPr>
      <w:r>
        <w:rPr>
          <w:sz w:val="19"/>
        </w:rPr>
        <w:t>Built an MCP server that gives AI assistants (Claude Desktop, Cursor) six read-only tools to check a crypto wallet, token or smart contract for risk before anyone interacts with it, returning a 0 to 100 risk score with a reason for every point, across Ethereum, Base, Arbitrum One, Polygon PoS and BNB Chain.</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spacing w:after="0" w:before="100"/>
      </w:pPr>
      <w:r>
        <w:rPr>
          <w:b/>
          <w:sz w:val="20"/>
        </w:rPr>
        <w:t>Sequence-Based Transaction Fraud Detection System</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Handled extreme class imbalance with focal loss and weighted sampling and isolated their failure modes: focal loss degraded probability calibration (ECE 0.0063) while weighted sampling cost 0.042 PR-AUC. Corrected calibration with temperature scaling and isotonic regression, reducing ECE to 0.0005.</w:t>
      </w:r>
    </w:p>
    <w:p>
      <w:pPr>
        <w:spacing w:after="0" w:before="100"/>
      </w:pPr>
      <w:r>
        <w:rPr>
          <w:b/>
          <w:sz w:val="20"/>
        </w:rPr>
        <w:t>Reckon: Payment Reconciliation and Review System</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Nigerian-Fintech-Compliance-RAG" TargetMode="External"/><Relationship Id="rId12" Type="http://schemas.openxmlformats.org/officeDocument/2006/relationships/hyperlink" Target="https://nigerian-fintech-regulation-assistant-474115007874.europe-west1.run.app/" TargetMode="External"/><Relationship Id="rId13" Type="http://schemas.openxmlformats.org/officeDocument/2006/relationships/hyperlink" Target="https://github.com/MelvTheGoat/web3-risk-mcp" TargetMode="External"/><Relationship Id="rId14" Type="http://schemas.openxmlformats.org/officeDocument/2006/relationships/hyperlink" Target="https://github.com/MelvTheGoat/Fraud-Detection-With-Sequence-Models" TargetMode="External"/><Relationship Id="rId15" Type="http://schemas.openxmlformats.org/officeDocument/2006/relationships/hyperlink" Target="https://github.com/MelvTheGoat/Stack" TargetMode="External"/><Relationship Id="rId16" Type="http://schemas.openxmlformats.org/officeDocument/2006/relationships/hyperlink" Target="https://stack-production-d2a4.up.railway.ap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