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Data Scientist, Credit and Fraud Risk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Data scientist with a B.Sc. in Statistics who builds credit and fraud risk models end to end, from calibrated probabilities to deployed services. Built a credit decisioning system with cost-optimal cutoffs, reason codes and a fairness audit, choosing models on calibration because pricing on expected loss needs true probabilities. Works in Python and SQL and deploys with FastAPI and Docker.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Credit Risk Decisioning, Transaction Fraud Detection, Payment Reconciliation, Double-Entry Ledgers and Idempotency, Regulatory Compliance (CBN/NDPA), Demand Forecasting, Web3 Fraud Risk Scoring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WOE Scorecards, Logistic Regression, Experiment Design, Statistical Inference, Power Analysis, CUPED, Causal Inference (S/T/X-Learners, Causal Forests), Uplift Modeling, Qini and AUUC, Time-Series Backtesting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LightGBM, Model Calibration (Isotonic Regression, Temperature Scaling), SHAP, PyTorch, Scikit-learn, XGBoost, Deep Learning, Sequence Models (GRU, TCN, Transformers), Feature Engineering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SQL, DuckDB, PostgreSQL, Redis, FastAPI, Docker, GCP Cloud Run, AWS ECS Fargate, Railway, Prefect, dbt-core, MLflow, Evidently, CI/CD (GitHub Actions), Git, Pytest, Streamlit, React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Pandas, NumPy, SQL, Anomaly Detection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Hybrid Search (BM25, Dense Embeddings, RRF), LLM Evaluation and Guardrails, Prompt Engineering, Citation Verification, Model Context Protocol (MCP), Hugging Face, ONNX Runtime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Credit Risk Decisioning and Fairness Audit System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LightGBM, scikit-learn, SHAP, WOE Scorecards, FastAPI, Docker</w:t>
      </w:r>
    </w:p>
    <w:p>
      <w:pPr>
        <w:pStyle w:val="ListBullet"/>
        <w:spacing w:after="30"/>
        <w:ind w:left="317"/>
      </w:pPr>
      <w:r>
        <w:rPr>
          <w:sz w:val="19"/>
        </w:rPr>
        <w:t>Developed a full credit decisioning system producing calibrated default probabilities, cost-optimal approve and decline cutoffs, adverse action reason codes and an append-only audit trail that lets any individual decision be reconstructed months later.</w:t>
      </w:r>
    </w:p>
    <w:p>
      <w:pPr>
        <w:pStyle w:val="ListBullet"/>
        <w:spacing w:after="30"/>
        <w:ind w:left="317"/>
      </w:pPr>
      <w:r>
        <w:rPr>
          <w:sz w:val="19"/>
        </w:rPr>
        <w:t>Benchmarked gradient boosting against a traditional WOE-binned logistic scorecard, prioritising calibration quality (Brier score, reliability diagrams, expected calibration error) over ranking metrics, because expected loss needs true probabilities rather than rankings.</w:t>
      </w:r>
    </w:p>
    <w:p>
      <w:pPr>
        <w:pStyle w:val="ListBullet"/>
        <w:spacing w:after="30"/>
        <w:ind w:left="317"/>
      </w:pPr>
      <w:r>
        <w:rPr>
          <w:sz w:val="19"/>
        </w:rPr>
        <w:t>Audited fairness across sex, age, education and marital status using demographic parity and equal opportunity differences plus within-group calibration, and presented the accuracy and fairness tradeoff curve as a policy decision rather than silently optimising it away.</w:t>
      </w:r>
    </w:p>
    <w:p>
      <w:pPr>
        <w:spacing w:after="0" w:before="100"/>
      </w:pPr>
      <w:r>
        <w:rPr>
          <w:b/>
          <w:sz w:val="20"/>
        </w:rPr>
        <w:t>Sequence-Based Transaction Fraud Detection System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LightGBM, ONNX Runtime, FastAPI, Docker, SHAP</w:t>
      </w:r>
    </w:p>
    <w:p>
      <w:pPr>
        <w:pStyle w:val="ListBullet"/>
        <w:spacing w:after="30"/>
        <w:ind w:left="317"/>
      </w:pPr>
      <w:r>
        <w:rPr>
          <w:sz w:val="19"/>
        </w:rPr>
        <w:t>Handled extreme class imbalance with focal loss and weighted sampling and isolated their failure modes: focal loss degraded probability calibration (ECE 0.0063) while weighted sampling cost 0.042 PR-AUC. Corrected calibration with temperature scaling and isotonic regression, reducing ECE to 0.0005.</w:t>
      </w:r>
    </w:p>
    <w:p>
      <w:pPr>
        <w:pStyle w:val="ListBullet"/>
        <w:spacing w:after="30"/>
        <w:ind w:left="317"/>
      </w:pPr>
      <w:r>
        <w:rPr>
          <w:sz w:val="19"/>
        </w:rPr>
        <w:t>Benchmarked all architectures against a strong LightGBM baseline on engineered velocity and deviation features, reporting PR-AUC and precision at fixed review capacity (top 0.1%, 0.5%, 1%) across 3 seeds, with a per-attack-type breakdown covering card testing, account takeover and merchant compromise; sequence models cut expected cost per transaction 27% under an explicit cost model.</w:t>
      </w:r>
    </w:p>
    <w:p>
      <w:pPr>
        <w:spacing w:after="0" w:before="100"/>
      </w:pPr>
      <w:r>
        <w:rPr>
          <w:b/>
          <w:sz w:val="20"/>
        </w:rPr>
        <w:t>Uplift Modelling for Campaign Targeting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scikit-learn, LightGBM, EconML, pytest, GitHub Actions</w:t>
      </w:r>
    </w:p>
    <w:p>
      <w:pPr>
        <w:pStyle w:val="ListBullet"/>
        <w:spacing w:after="30"/>
        <w:ind w:left="317"/>
      </w:pPr>
      <w:r>
        <w:rPr>
          <w:sz w:val="19"/>
        </w:rPr>
        <w:t>Ran a causal inference study on the Hillstrom randomised e-mail trial (64,000 customers) to decide which customers to contact under a fixed budget, delivered as a two-page decision memo for a marketing director.</w:t>
      </w:r>
    </w:p>
    <w:p>
      <w:pPr>
        <w:pStyle w:val="ListBullet"/>
        <w:spacing w:after="30"/>
        <w:ind w:left="317"/>
      </w:pPr>
      <w:r>
        <w:rPr>
          <w:sz w:val="19"/>
        </w:rPr>
        <w:t>Added a power and MDE calculator and a CUPED variance-reduction demo; 135 tests on synthetic data with CI on Python 3.10 to 3.12.</w:t>
      </w:r>
    </w:p>
    <w:p>
      <w:pPr>
        <w:spacing w:after="0" w:before="100"/>
      </w:pPr>
      <w:r>
        <w:rPr>
          <w:b/>
          <w:sz w:val="20"/>
        </w:rPr>
        <w:t>Self-Operating Demand Forecasting Platform</w:t>
      </w:r>
      <w:r>
        <w:rPr>
          <w:sz w:val="19"/>
        </w:rPr>
        <w:t xml:space="preserve">  |  </w:t>
      </w:r>
      <w:hyperlink r:id="rId15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Prefect, dbt-core, DuckDB, LightGBM, MLflow, Evidently, FastAPI,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end-to-end hourly demand forecasting system for NYC taxi zones, producing 24-hour quantile forecasts through an orchestrated Prefect pipeline spanning ingestion, dbt/DuckDB transformations, backtesting, drift monitoring and conditional retraining.</w:t>
      </w:r>
    </w:p>
    <w:p>
      <w:pPr>
        <w:pStyle w:val="ListBullet"/>
        <w:spacing w:after="30"/>
        <w:ind w:left="317"/>
      </w:pPr>
      <w:r>
        <w:rPr>
          <w:sz w:val="19"/>
        </w:rPr>
        <w:t>Validated with rolling-origin backtesting across 6 expanding-window folds against seasonal-naive and historical-mean baselines, reporting MASE and pinball loss, with automated leakage tests that fail the build if any feature reads past the forecast origin.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Credit-Risk-Decisioning" TargetMode="External"/><Relationship Id="rId12" Type="http://schemas.openxmlformats.org/officeDocument/2006/relationships/hyperlink" Target="https://credit-risk-decisioning-702657773047.europe-west1.run.app/" TargetMode="External"/><Relationship Id="rId13" Type="http://schemas.openxmlformats.org/officeDocument/2006/relationships/hyperlink" Target="https://github.com/MelvTheGoat/Fraud-Detection-With-Sequence-Models" TargetMode="External"/><Relationship Id="rId14" Type="http://schemas.openxmlformats.org/officeDocument/2006/relationships/hyperlink" Target="https://github.com/MelvTheGoat/Uplift-Modelling-Decision" TargetMode="External"/><Relationship Id="rId15" Type="http://schemas.openxmlformats.org/officeDocument/2006/relationships/hyperlink" Target="https://github.com/MelvTheGoat/nyc-taxi-demand-foreca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