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Data Analyst, Fraud and Risk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Data analyst and machine learning engineer with a B.Sc. in Statistics, focused on fraud and payments data. Built a sequence-based fraud detection system analysed by attack type, and a reconciliation system that finds duplicate settlements and payout discrepancies. Earlier did manual anomaly detection on transactional records as an internal auditor. Works mainly in SQL and Python.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Payment Reconciliation, Credit Risk Decisioning, Double-Entry Ledgers and Idempotency, Regulatory Compliance (CBN/NDPA), Demand Forecasting, Web3 Fraud Risk Scoring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SQL, Anomaly Detection, Pandas, NumPy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LightGBM, XGBoost, Deep Learning, Sequence Models (GRU, TCN, Transformers),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Python, SQL, DuckDB, PostgreSQL, Redis, FastAPI, Docker, GCP Cloud Run, AWS ECS Fargate, Railway, Prefect, dbt-core, MLflow, Evidently, CI/CD (GitHub Actions), Git, Pytest, Streamlit, React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Retrieval-Augmented Generation (RAG), Hybrid Search (BM25, Dense Embeddings, RRF), LLM Evaluation and Guardrails, Prompt Engineering, Citation Verification, Model Context Protocol (MCP), Hugging Face, ONNX Runtime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Benchmarked all architectures against a strong LightGBM baseline on engineered velocity and deviation features, reporting PR-AUC and precision at fixed review capacity (top 0.1%, 0.5%, 1%) across 3 seeds, with a per-attack-type breakdown covering card testing, account takeover and merchant compromise; sequence models cut expected cost per transaction 27% under an explicit cost model.</w:t>
      </w:r>
    </w:p>
    <w:p>
      <w:pPr>
        <w:pStyle w:val="ListBullet"/>
        <w:spacing w:after="30"/>
        <w:ind w:left="317"/>
      </w:pPr>
      <w:r>
        <w:rPr>
          <w:sz w:val="19"/>
        </w:rPr>
        <w:t>Handled extreme class imbalance with focal loss and weighted sampling and isolated their failure modes: focal loss degraded probability calibration (ECE 0.0063) while weighted sampling cost 0.042 PR-AUC. Corrected calibration with temperature scaling and isotonic regression, reducing ECE to 0.0005.</w:t>
      </w:r>
    </w:p>
    <w:p>
      <w:pPr>
        <w:pStyle w:val="ListBullet"/>
        <w:spacing w:after="30"/>
        <w:ind w:left="317"/>
      </w:pPr>
      <w:r>
        <w:rPr>
          <w:sz w:val="19"/>
        </w:rPr>
        <w:t>Built and compared three deep sequence architectures (GRU, Temporal Convolutional Network and a causally masked Transformer encoder) over customer transaction histories, with learned embeddings for high-cardinality merchant (~2.9k vocabulary), MCC and device-type categoricals; all models under 115k parameters and CPU-trainable in under 6 minutes.</w:t>
      </w:r>
    </w:p>
    <w:p>
      <w:pPr>
        <w:spacing w:after="0" w:before="100"/>
      </w:pPr>
      <w:r>
        <w:rPr>
          <w:b/>
          <w:sz w:val="20"/>
        </w:rPr>
        <w:t>Reckon: Payment Reconciliation and Review System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DuckDB, FastAPI, React, Docker, Railway, PostgreSQL</w:t>
      </w:r>
    </w:p>
    <w:p>
      <w:pPr>
        <w:pStyle w:val="ListBullet"/>
        <w:spacing w:after="30"/>
        <w:ind w:left="317"/>
      </w:pPr>
      <w:r>
        <w:rPr>
          <w:sz w:val="19"/>
        </w:rPr>
        <w:t>Built and deployed a payment reconciliation system processing multi-source transaction feeds to detect uncollected revenue, duplicate settlements and payout discrepancies, combining deterministic matching rules with ML-assisted discrepancy resolution.</w:t>
      </w:r>
    </w:p>
    <w:p>
      <w:pPr>
        <w:pStyle w:val="ListBullet"/>
        <w:spacing w:after="30"/>
        <w:ind w:left="317"/>
      </w:pPr>
      <w:r>
        <w:rPr>
          <w:sz w:val="19"/>
        </w:rPr>
        <w:t>Engineered a multi-stage reconciliation pipeline using DuckDB and FastAPI, with temporal join logic and tolerance thresholds to handle asynchronous processor webhooks and bank settlement files.</w:t>
      </w:r>
    </w:p>
    <w:p>
      <w:pPr>
        <w:pStyle w:val="ListBullet"/>
        <w:spacing w:after="30"/>
        <w:ind w:left="317"/>
      </w:pPr>
      <w:r>
        <w:rPr>
          <w:sz w:val="19"/>
        </w:rPr>
        <w:t>Designed a human-in-the-loop review interface in React showing match confidence scores, audit trails and suggested resolution actions to streamline exception handling.</w:t>
      </w:r>
    </w:p>
    <w:p>
      <w:pPr>
        <w:spacing w:after="0" w:before="100"/>
      </w:pPr>
      <w:r>
        <w:rPr>
          <w:b/>
          <w:sz w:val="20"/>
        </w:rPr>
        <w:t>Credit Risk Decisioning and Fairness Audit System</w:t>
      </w:r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LightGBM, scikit-learn, SHAP, WOE Scorecards, FastAPI, Docker</w:t>
      </w:r>
    </w:p>
    <w:p>
      <w:pPr>
        <w:pStyle w:val="ListBullet"/>
        <w:spacing w:after="30"/>
        <w:ind w:left="317"/>
      </w:pPr>
      <w:r>
        <w:rPr>
          <w:sz w:val="19"/>
        </w:rPr>
        <w:t>Developed a full credit decisioning system producing calibrated default probabilities, cost-optimal approve and decline cutoffs, adverse action reason codes and an append-only audit trail that lets any individual decision be reconstructed months later.</w:t>
      </w:r>
    </w:p>
    <w:p>
      <w:pPr>
        <w:pStyle w:val="ListBullet"/>
        <w:spacing w:after="30"/>
        <w:ind w:left="317"/>
      </w:pPr>
      <w:r>
        <w:rPr>
          <w:sz w:val="19"/>
        </w:rPr>
        <w:t>Benchmarked gradient boosting against a traditional WOE-binned logistic scorecard, prioritising calibration quality (Brier score, reliability diagrams, expected calibration error) over ranking metrics, because expected loss needs true probabilities rather than rankings.</w:t>
      </w:r>
    </w:p>
    <w:p>
      <w:pPr>
        <w:spacing w:after="0" w:before="10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6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Fraud-Detection-With-Sequence-Models" TargetMode="External"/><Relationship Id="rId12" Type="http://schemas.openxmlformats.org/officeDocument/2006/relationships/hyperlink" Target="https://github.com/MelvTheGoat/Stack" TargetMode="External"/><Relationship Id="rId13" Type="http://schemas.openxmlformats.org/officeDocument/2006/relationships/hyperlink" Target="https://stack-production-d2a4.up.railway.app/review" TargetMode="External"/><Relationship Id="rId14" Type="http://schemas.openxmlformats.org/officeDocument/2006/relationships/hyperlink" Target="https://github.com/MelvTheGoat/Credit-Risk-Decisioning" TargetMode="External"/><Relationship Id="rId15" Type="http://schemas.openxmlformats.org/officeDocument/2006/relationships/hyperlink" Target="https://credit-risk-decisioning-702657773047.europe-west1.run.app/" TargetMode="External"/><Relationship Id="rId16" Type="http://schemas.openxmlformats.org/officeDocument/2006/relationships/hyperlink" Target="https://github.com/MelvTheGoat/nyc-taxi-demand-foreca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