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and Machine Learning Engineer</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engineer and analyst with a B.Sc. in Statistics who uses AI with checks in place. Builds SQL transformations and data models with dbt and DuckDB, tests pipelines so bad data fails the build, and has built LLM systems that verify their own citations. Teaches data analysis to student cohorts.</w:t>
      </w:r>
    </w:p>
    <w:p>
      <w:pPr>
        <w:spacing w:after="60" w:before="180"/>
        <w:pBdr>
          <w:bottom w:val="single" w:sz="6" w:space="1" w:color="808080"/>
        </w:pBdr>
      </w:pPr>
      <w:r>
        <w:rPr>
          <w:b/>
          <w:i w:val="0"/>
          <w:color w:val="1F3864"/>
          <w:sz w:val="21"/>
        </w:rPr>
        <w:t>SKILLS</w:t>
      </w:r>
    </w:p>
    <w:p>
      <w:pPr>
        <w:spacing w:after="30" w:before="0"/>
      </w:pPr>
      <w:r>
        <w:rPr>
          <w:b/>
          <w:sz w:val="19"/>
        </w:rPr>
        <w:t xml:space="preserve">Engineering and MLOps: </w:t>
      </w:r>
      <w:r>
        <w:rPr>
          <w:sz w:val="19"/>
        </w:rPr>
        <w:t>SQL, dbt-core, DuckDB, Python, Git, PostgreSQL, Redis, FastAPI, Docker, GCP Cloud Run, AWS ECS Fargate, Railway, Prefect, MLflow, Evidently, CI/CD (GitHub Actions), Pytest, Streamlit, React</w:t>
      </w:r>
    </w:p>
    <w:p>
      <w:pPr>
        <w:spacing w:after="30" w:before="0"/>
      </w:pPr>
      <w:r>
        <w:rPr>
          <w:b/>
          <w:sz w:val="19"/>
        </w:rPr>
        <w:t xml:space="preserve">Data Analysis: </w:t>
      </w:r>
      <w:r>
        <w:rPr>
          <w:sz w:val="19"/>
        </w:rPr>
        <w:t>Pandas, NumPy, SQL, Anomaly Detection</w:t>
      </w:r>
    </w:p>
    <w:p>
      <w:pPr>
        <w:spacing w:after="30" w:before="0"/>
      </w:pPr>
      <w:r>
        <w:rPr>
          <w:b/>
          <w:sz w:val="19"/>
        </w:rPr>
        <w:t xml:space="preserve">AI and LLM Systems: </w:t>
      </w:r>
      <w:r>
        <w:rPr>
          <w:sz w:val="19"/>
        </w:rPr>
        <w:t>Prompt Engineering, LLM Evaluation and Guardrails, Citation Verification, Retrieval-Augmented Generation (RAG), Hybrid Search (BM25, Dense Embeddings, RRF), Model Context Protocol (MCP), Hugging Face, ONNX Runtime</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Payments and Risk: </w:t>
      </w:r>
      <w:r>
        <w:rPr>
          <w:sz w:val="19"/>
        </w:rPr>
        <w:t>Transaction Fraud Detection, Credit Risk Decisioning, Payment Reconciliation, Double-Entry Ledgers and Idempotency, Regulatory Compliance (CBN/NDPA), Demand Forecasting, Web3 Fraud Risk Scoring</w:t>
      </w:r>
    </w:p>
    <w:p>
      <w:pPr>
        <w:spacing w:after="60" w:before="180"/>
        <w:pBdr>
          <w:bottom w:val="single" w:sz="6" w:space="1" w:color="808080"/>
        </w:pBdr>
      </w:pPr>
      <w:r>
        <w:rPr>
          <w:b/>
          <w:i w:val="0"/>
          <w:color w:val="1F3864"/>
          <w:sz w:val="21"/>
        </w:rPr>
        <w:t>PROJECTS</w:t>
      </w:r>
    </w:p>
    <w:p>
      <w:pPr>
        <w:spacing w:after="0" w:before="0"/>
      </w:pPr>
      <w:r>
        <w:rPr>
          <w:b/>
          <w:sz w:val="20"/>
        </w:rPr>
        <w:t>Self-Operating Demand Forecasting Platform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0" w:before="100"/>
      </w:pPr>
      <w:r>
        <w:rPr>
          <w:b/>
          <w:sz w:val="20"/>
        </w:rPr>
        <w:t>Reckon: Payment Reconciliation and Review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spacing w:after="0" w:before="100"/>
      </w:pPr>
      <w:r>
        <w:rPr>
          <w:b/>
          <w:sz w:val="20"/>
        </w:rPr>
        <w:t>Fintech Compliance RAG Assistant</w:t>
      </w:r>
      <w:r>
        <w:rPr>
          <w:sz w:val="19"/>
        </w:rPr>
        <w:t xml:space="preserve">  |  </w:t>
      </w:r>
      <w:hyperlink r:id="rId14">
        <w:r>
          <w:rPr>
            <w:rFonts w:ascii="Arial" w:hAnsi="Arial"/>
            <w:color w:val="1F4E79"/>
            <w:u w:val="single"/>
            <w:sz w:val="19"/>
          </w:rPr>
          <w:t>GitHub</w:t>
        </w:r>
      </w:hyperlink>
      <w:r>
        <w:rPr>
          <w:sz w:val="19"/>
        </w:rPr>
        <w:t xml:space="preserve">  |  </w:t>
      </w:r>
      <w:hyperlink r:id="rId15">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Designed generation to fail safely under uncertainty: a sentinel-token refusal mechanism enforced across the prompt, output guardrail and evaluation harness, plus post-generation citation verification that strips any marker the model cited but never retrieved.</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yc-taxi-demand-forecast" TargetMode="External"/><Relationship Id="rId12" Type="http://schemas.openxmlformats.org/officeDocument/2006/relationships/hyperlink" Target="https://github.com/MelvTheGoat/Stack" TargetMode="External"/><Relationship Id="rId13" Type="http://schemas.openxmlformats.org/officeDocument/2006/relationships/hyperlink" Target="https://stack-production-d2a4.up.railway.app/review" TargetMode="External"/><Relationship Id="rId14" Type="http://schemas.openxmlformats.org/officeDocument/2006/relationships/hyperlink" Target="https://github.com/MelvTheGoat/Nigerian-Fintech-Compliance-RAG" TargetMode="External"/><Relationship Id="rId15"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