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Engineer,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data scientist with a B.Sc. in Statistics who builds detection that can explain itself. Built sequence fraud models measured by precision at fixed review capacity and an explicit cost model, an explainable risk scorer that traces fund links over 1 or 2 hops and gives a reason for every point, and a review queue for uncertain cases.</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Web3 Fraud Risk Scoring, Payment Reconciliation, Credit Risk Decisioning, Double-Entry Ledgers and Idempotency, Regulatory Compliance (CBN/NDPA), Demand Forecasting</w:t>
      </w:r>
    </w:p>
    <w:p>
      <w:pPr>
        <w:spacing w:after="30" w:before="0"/>
      </w:pPr>
      <w:r>
        <w:rPr>
          <w:b/>
          <w:sz w:val="19"/>
        </w:rPr>
        <w:t xml:space="preserve">Machine Learning: </w:t>
      </w:r>
      <w:r>
        <w:rPr>
          <w:sz w:val="19"/>
        </w:rPr>
        <w:t>LightGBM, PyTorch, Model Calibration (Isotonic Regression, Temperature Scaling), SHAP, Feature Engineering, Scikit-learn, XGBoost, Deep Learning, Sequence Models (GRU, TCN, Transformers)</w:t>
      </w:r>
    </w:p>
    <w:p>
      <w:pPr>
        <w:spacing w:after="30" w:before="0"/>
      </w:pPr>
      <w:r>
        <w:rPr>
          <w:b/>
          <w:sz w:val="19"/>
        </w:rPr>
        <w:t xml:space="preserve">Data Analysis: </w:t>
      </w:r>
      <w:r>
        <w:rPr>
          <w:sz w:val="19"/>
        </w:rPr>
        <w:t>SQL, Pandas, Anomaly Detection, NumPy</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Assembled an evaluation set of 34 hand-checked addresses (12 risky, 22 safe) with a record and replay harness reporting ROC AUC, precision and recall.</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