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AI Engineer, LLM and Retrieval Systems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AI engineer with a B.Sc. in Statistics who builds agents and retrieval systems with evaluations and safe limits. Built a retrieval assistant with refusal guardrails and separate retrieval and generation evaluation, an MCP server limited to read-only tools, and fraud and reconciliation systems for payments.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LLM Evaluation and Guardrails, Model Context Protocol (MCP), Prompt Engineering, Hybrid Search (BM25, Dense Embeddings, RRF), Citation Verification, Hugging Face, ONNX Runtime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FastAPI, Docker, PostgreSQL, Git, Pytest, SQL, DuckDB, Redis, GCP Cloud Run, AWS ECS Fargate, Railway, Prefect, dbt-core, MLflow, Evidently, CI/CD (GitHub Actions), Streamlit, React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Transaction Fraud Detection, Payment Reconciliation, Credit Risk Decisioning, Double-Entry Ledgers and Idempotency, Regulatory Compliance (CBN/NDPA), Demand Forecasting, Web3 Fraud Risk Scoring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Experiment Design, Power Analysis, CUPED, Causal Inference (S/T/X-Learners, Causal Forests), Uplift Modeling, Qini and AUUC, Time-Series Backtesting, Logistic Regression, WOE Scorecards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Fintech Compliance RAG Assistant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Streamlit, BM25, ONNX Runtime, Reciprocal Rank Fusion, FastAPI, Docker, GCP Cloud Run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regulatory question-answering system over central bank (CBN) circulars and the NDPA, combining sparse (BM25) and dense (ONNX-served MiniLM) retrieval fused via reciprocal rank fusion, reaching 0.96 recall@5 and 0.842 MRR on a 50-question labelled golden set with zero retrieval misses in the top 10.</w:t>
      </w:r>
    </w:p>
    <w:p>
      <w:pPr>
        <w:pStyle w:val="ListBullet"/>
        <w:spacing w:after="30"/>
        <w:ind w:left="317"/>
      </w:pPr>
      <w:r>
        <w:rPr>
          <w:sz w:val="19"/>
        </w:rPr>
        <w:t>Designed generation to fail safely under uncertainty: a sentinel-token refusal mechanism enforced across the prompt, output guardrail and evaluation harness, plus post-generation citation verification that strips any marker the model cited but never retrieved.</w:t>
      </w:r>
    </w:p>
    <w:p>
      <w:pPr>
        <w:pStyle w:val="ListBullet"/>
        <w:spacing w:after="30"/>
        <w:ind w:left="317"/>
      </w:pPr>
      <w:r>
        <w:rPr>
          <w:sz w:val="19"/>
        </w:rPr>
        <w:t>Ran retrieval and generation evaluation as separate metrics to localise failure by component; traced a 0.40 refusal-correctness result to a lexical-overlap limitation in the offline stub judge and flagged re-validation against a live provider as the next step instead of overstating readiness.</w:t>
      </w:r>
    </w:p>
    <w:p>
      <w:pPr>
        <w:pStyle w:val="ListBullet"/>
        <w:spacing w:after="30"/>
        <w:ind w:left="317"/>
      </w:pPr>
      <w:r>
        <w:rPr>
          <w:sz w:val="19"/>
        </w:rPr>
        <w:t>Deployed on GCP Cloud Run via Docker within a ~225MB peak memory footprint (2GB budget), with per-session and daily request caps in application code to bound API cost on a public endpoint.</w:t>
      </w:r>
    </w:p>
    <w:p>
      <w:pPr>
        <w:spacing w:after="0" w:before="100"/>
      </w:pPr>
      <w:r>
        <w:rPr>
          <w:b/>
          <w:sz w:val="20"/>
        </w:rPr>
        <w:t>web3-risk-mcp: Web3 Fraud Risk MCP Server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Model Context Protocol (MCP), Etherscan V2, GoPlus, DexScreener,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MCP server that gives AI assistants (Claude Desktop, Cursor) six read-only tools to check a crypto wallet, token or smart contract for risk before anyone interacts with it, returning a 0 to 100 risk score with a reason for every point, across Ethereum, Base, Arbitrum One, Polygon PoS and BNB Chain.</w:t>
      </w:r>
    </w:p>
    <w:p>
      <w:pPr>
        <w:pStyle w:val="ListBullet"/>
        <w:spacing w:after="30"/>
        <w:ind w:left="317"/>
      </w:pPr>
      <w:r>
        <w:rPr>
          <w:sz w:val="19"/>
        </w:rPr>
        <w:t>Built a resilient HTTP layer with caching, per-source rate limits and retries with exponential backoff and jitter; one failing source never breaks an investigation, and missing data lowers confidence rather than the score.</w:t>
      </w:r>
    </w:p>
    <w:p>
      <w:pPr>
        <w:spacing w:after="0" w:before="100"/>
      </w:pPr>
      <w:r>
        <w:rPr>
          <w:b/>
          <w:sz w:val="20"/>
        </w:rPr>
        <w:t>Reckon: Payment Reconciliation and Review System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5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DuckDB, FastAPI, React, Docker, Railway, PostgreSQL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payment reconciliation system processing multi-source transaction feeds to detect uncollected revenue, duplicate settlements and payout discrepancies, combining deterministic matching rules with ML-assisted discrepancy resolution.</w:t>
      </w:r>
    </w:p>
    <w:p>
      <w:pPr>
        <w:pStyle w:val="ListBullet"/>
        <w:spacing w:after="30"/>
        <w:ind w:left="317"/>
      </w:pPr>
      <w:r>
        <w:rPr>
          <w:sz w:val="19"/>
        </w:rPr>
        <w:t>Designed a human-in-the-loop review interface in React showing match confidence scores, audit trails and suggested resolution actions to streamline exception handling.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Nigerian-Fintech-Compliance-RAG" TargetMode="External"/><Relationship Id="rId12" Type="http://schemas.openxmlformats.org/officeDocument/2006/relationships/hyperlink" Target="https://nigerian-fintech-regulation-assistant-474115007874.europe-west1.run.app/" TargetMode="External"/><Relationship Id="rId13" Type="http://schemas.openxmlformats.org/officeDocument/2006/relationships/hyperlink" Target="https://github.com/MelvTheGoat/web3-risk-mcp" TargetMode="External"/><Relationship Id="rId14" Type="http://schemas.openxmlformats.org/officeDocument/2006/relationships/hyperlink" Target="https://github.com/MelvTheGoat/Stack" TargetMode="External"/><Relationship Id="rId15" Type="http://schemas.openxmlformats.org/officeDocument/2006/relationships/hyperlink" Target="https://stack-production-d2a4.up.railway.app/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