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LLM applications and measures them. Built a retrieval assistant with a separate evaluation harness and refusal guardrails, an MCP server with resilient API calls, and Python services with FastAPI, deployed on GCP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Prompt Engineering, Model Context Protocol (MCP),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Pytest, SQL, DuckDB, PostgreSQL, Redis,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FPL AI Manager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SQLite, FastAPI, React, Docker, Render</w:t>
      </w:r>
    </w:p>
    <w:p>
      <w:pPr>
        <w:pStyle w:val="ListBullet"/>
        <w:spacing w:after="30"/>
        <w:ind w:left="317"/>
      </w:pPr>
      <w:r>
        <w:rPr>
          <w:sz w:val="19"/>
        </w:rPr>
        <w:t>Wrote a rules engine, an expected-points model over a multi-gameweek horizon and a leakage-free backfill; cached, rate-limited API client, scheduled jobs and one-command deployment, with 574 tests.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antasy-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