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Credit and Fraud Risk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scientist with a B.Sc. in Statistics working on financial crime and credit risk. Built fraud models with careful handling of class imbalance and calibration, a credit decisioning system with calibrated default probabilities and reason codes, and a forecasting platform with rolling-origin backtesting, all deployed with Docker and CI.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LightGBM, XGBoost, PyTorch, Model Calibration (Isotonic Regression, Temperature Scaling), SHAP, Feature Engineering, Scikit-learn, Deep Learning, Sequence Models (GRU, TCN, Transformers)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Time-Series Backtesting, WOE Scorecards, Logistic Regression, Statistical Inference, Experiment Design, Power Analysis, CUPED, Causal Inference (S/T/X-Learners, Causal Forests), Uplift Modeling, Qini and AUUC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Docker, CI/CD (GitHub Actions), DuckDB, PostgreSQL, Redis, FastAPI, GCP Cloud Run, AWS ECS Fargate, Railway, Prefect, dbt-core, MLflow, Evidently, Git, Pytest, Streamlit, React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pStyle w:val="ListBullet"/>
        <w:spacing w:after="30"/>
        <w:ind w:left="317"/>
      </w:pPr>
      <w:r>
        <w:rPr>
          <w:sz w:val="19"/>
        </w:rPr>
        <w:t>Handled extreme class imbalance with focal loss and weighted sampling and isolated their failure modes: focal loss degraded probability calibration (ECE 0.0063) while weighted sampling cost 0.042 PR-AUC. Corrected calibration with temperature scaling and isotonic regression, reducing ECE to 0.0005.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0" w:before="10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pStyle w:val="ListBullet"/>
        <w:spacing w:after="30"/>
        <w:ind w:left="317"/>
      </w:pPr>
      <w:r>
        <w:rPr>
          <w:sz w:val="19"/>
        </w:rPr>
        <w:t>Benchmarked gradient boosting against a traditional WOE-binned logistic scorecard, prioritising calibration quality (Brier score, reliability diagrams, expected calibration error) over ranking metrics, because expected loss needs true probabilities rather than rankings.</w:t>
      </w:r>
    </w:p>
    <w:p>
      <w:pPr>
        <w:pStyle w:val="ListBullet"/>
        <w:spacing w:after="30"/>
        <w:ind w:left="317"/>
      </w:pPr>
      <w:r>
        <w:rPr>
          <w:sz w:val="19"/>
        </w:rPr>
        <w:t>Audited fairness across sex, age, education and marital status using demographic parity and equal opportunity differences plus within-group calibration, and presented the accuracy and fairness tradeoff curve as a policy decision rather than silently optimising it away.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Fraud-Detection-With-Sequence-Models" TargetMode="External"/><Relationship Id="rId12" Type="http://schemas.openxmlformats.org/officeDocument/2006/relationships/hyperlink" Target="https://github.com/MelvTheGoat/Credit-Risk-Decisioning" TargetMode="External"/><Relationship Id="rId13" Type="http://schemas.openxmlformats.org/officeDocument/2006/relationships/hyperlink" Target="https://credit-risk-decisioning-702657773047.europe-west1.run.app/" TargetMode="External"/><Relationship Id="rId14" Type="http://schemas.openxmlformats.org/officeDocument/2006/relationships/hyperlink" Target="https://github.com/MelvTheGoat/nyc-taxi-demand-foreca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