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Machine learning engineer with a B.Sc. in Statistics who builds deep learning fraud detection. Built GRU, TCN and Transformer models over customer transaction histories that beat a strong LightGBM baseline, cut expected cost per transaction 27% and serve in real time at 5.1 ms p99 through ONNX Runtime.</w:t>
      </w:r>
    </w:p>
    <w:p>
      <w:pPr>
        <w:spacing w:after="60" w:before="180"/>
        <w:pBdr>
          <w:bottom w:val="single" w:sz="6" w:space="1" w:color="808080"/>
        </w:pBdr>
      </w:pPr>
      <w:r>
        <w:rPr>
          <w:b/>
          <w:i w:val="0"/>
          <w:color w:val="1F3864"/>
          <w:sz w:val="21"/>
        </w:rPr>
        <w:t>SKILLS</w:t>
      </w:r>
    </w:p>
    <w:p>
      <w:pPr>
        <w:spacing w:after="30" w:before="0"/>
      </w:pPr>
      <w:r>
        <w:rPr>
          <w:b/>
          <w:sz w:val="19"/>
        </w:rPr>
        <w:t xml:space="preserve">Machine Learning: </w:t>
      </w:r>
      <w:r>
        <w:rPr>
          <w:sz w:val="19"/>
        </w:rPr>
        <w:t>PyTorch, Sequence Models (GRU, TCN, Transformers), LightGBM, Model Calibration (Isotonic Regression, Temperature Scaling), SHAP, Feature Engineering, Scikit-learn, XGBoost, Deep Learning</w:t>
      </w:r>
    </w:p>
    <w:p>
      <w:pPr>
        <w:spacing w:after="30" w:before="0"/>
      </w:pPr>
      <w:r>
        <w:rPr>
          <w:b/>
          <w:sz w:val="19"/>
        </w:rPr>
        <w:t xml:space="preserve">Payments and Risk: </w:t>
      </w:r>
      <w:r>
        <w:rPr>
          <w:sz w:val="19"/>
        </w:rPr>
        <w:t>Transaction Fraud Detection, Web3 Fraud Risk Scoring, Credit Risk Decisioning, Payment Reconciliation, Double-Entry Ledgers and Idempotency, Regulatory Compliance (CBN/NDPA), Demand Forecasting</w:t>
      </w:r>
    </w:p>
    <w:p>
      <w:pPr>
        <w:spacing w:after="30" w:before="0"/>
      </w:pPr>
      <w:r>
        <w:rPr>
          <w:b/>
          <w:sz w:val="19"/>
        </w:rPr>
        <w:t xml:space="preserve">Engineering and MLOps: </w:t>
      </w:r>
      <w:r>
        <w:rPr>
          <w:sz w:val="19"/>
        </w:rPr>
        <w:t>Python, SQL, FastAPI, Docker, DuckDB, PostgreSQL, Redis, GCP Cloud Run, AWS ECS Fargate, Railway, Prefect, dbt-core, MLflow, Evidently, CI/CD (GitHub Actions), Git, Pytest, Streamlit, React</w:t>
      </w:r>
    </w:p>
    <w:p>
      <w:pPr>
        <w:spacing w:after="30" w:before="0"/>
      </w:pPr>
      <w:r>
        <w:rPr>
          <w:b/>
          <w:sz w:val="19"/>
        </w:rPr>
        <w:t xml:space="preserve">AI and LLM Systems: </w:t>
      </w:r>
      <w:r>
        <w:rPr>
          <w:sz w:val="19"/>
        </w:rPr>
        <w:t>ONNX Runtime, Retrieval-Augmented Generation (RAG), Hybrid Search (BM25, Dense Embeddings, RRF), LLM Evaluation and Guardrails, Prompt Engineering, Citation Verification, Model Context Protocol (MCP), Hugging Face</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Credit Risk Decisioning and Fairness Audit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Benchmarked gradient boosting against a traditional WOE-binned logistic scorecard, prioritising calibration quality (Brier score, reliability diagrams, expected calibration error) over ranking metrics, because expected loss needs true probabilities rather than rankings.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Credit-Risk-Decisioning" TargetMode="External"/><Relationship Id="rId14" Type="http://schemas.openxmlformats.org/officeDocument/2006/relationships/hyperlink" Target="https://credit-risk-decisioning-702657773047.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