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b/>
          <w:i w:val="0"/>
          <w:color w:val="1F3864"/>
          <w:sz w:val="36"/>
        </w:rPr>
        <w:t>Oluwatobi Melvyn Mayungbo</w:t>
      </w:r>
    </w:p>
    <w:p>
      <w:pPr>
        <w:spacing w:after="40" w:before="0"/>
      </w:pPr>
      <w:r>
        <w:rPr>
          <w:b w:val="0"/>
          <w:i w:val="0"/>
          <w:color w:val="404040"/>
          <w:sz w:val="22"/>
        </w:rPr>
        <w:t>Data and Machine Learning Analyst</w:t>
      </w:r>
    </w:p>
    <w:p>
      <w:pPr>
        <w:spacing w:after="40" w:before="0"/>
      </w:pPr>
      <w:r>
        <w:rPr>
          <w:sz w:val="19"/>
        </w:rPr>
        <w:t xml:space="preserve">mlvyn.t@gmail.com  |  </w:t>
      </w:r>
      <w:hyperlink r:id="rId9">
        <w:r>
          <w:rPr>
            <w:rFonts w:ascii="Arial" w:hAnsi="Arial"/>
            <w:color w:val="1F4E79"/>
            <w:u w:val="single"/>
            <w:sz w:val="19"/>
          </w:rPr>
          <w:t>LinkedIn: linkedin.com/in/oluwatobi-mayungbo-3a567026b</w:t>
        </w:r>
      </w:hyperlink>
      <w:r>
        <w:rPr>
          <w:sz w:val="19"/>
        </w:rPr>
        <w:t xml:space="preserve">  |  </w:t>
      </w:r>
      <w:hyperlink r:id="rId10">
        <w:r>
          <w:rPr>
            <w:rFonts w:ascii="Arial" w:hAnsi="Arial"/>
            <w:color w:val="1F4E79"/>
            <w:u w:val="single"/>
            <w:sz w:val="19"/>
          </w:rPr>
          <w:t>GitHub: github.com/MelvTheGoat</w:t>
        </w:r>
      </w:hyperlink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SUMMARY</w:t>
      </w:r>
    </w:p>
    <w:p>
      <w:pPr>
        <w:spacing w:after="0" w:before="0"/>
      </w:pPr>
      <w:r>
        <w:rPr>
          <w:b w:val="0"/>
          <w:i w:val="0"/>
          <w:sz w:val="20"/>
        </w:rPr>
        <w:t>Data and machine learning analyst with a B.Sc. in Statistics. Finds the real driver behind a problem and builds the fix, including detection and scoring services, LLM pipelines with output checks, and experiments reported honestly, even when a result did not work. Works in SQL and Python.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SKILLS</w:t>
      </w:r>
    </w:p>
    <w:p>
      <w:pPr>
        <w:spacing w:after="30" w:before="0"/>
      </w:pPr>
      <w:r>
        <w:rPr>
          <w:b/>
          <w:sz w:val="19"/>
        </w:rPr>
        <w:t xml:space="preserve">Data Analysis: </w:t>
      </w:r>
      <w:r>
        <w:rPr>
          <w:sz w:val="19"/>
        </w:rPr>
        <w:t>SQL, Pandas, Anomaly Detection, NumPy</w:t>
      </w:r>
    </w:p>
    <w:p>
      <w:pPr>
        <w:spacing w:after="30" w:before="0"/>
      </w:pPr>
      <w:r>
        <w:rPr>
          <w:b/>
          <w:sz w:val="19"/>
        </w:rPr>
        <w:t xml:space="preserve">Statistics and Causal Inference: </w:t>
      </w:r>
      <w:r>
        <w:rPr>
          <w:sz w:val="19"/>
        </w:rPr>
        <w:t>Experiment Design, Power Analysis, CUPED, Statistical Inference, Causal Inference (S/T/X-Learners, Causal Forests), Uplift Modeling, Qini and AUUC, Time-Series Backtesting, Logistic Regression, WOE Scorecards</w:t>
      </w:r>
    </w:p>
    <w:p>
      <w:pPr>
        <w:spacing w:after="30" w:before="0"/>
      </w:pPr>
      <w:r>
        <w:rPr>
          <w:b/>
          <w:sz w:val="19"/>
        </w:rPr>
        <w:t xml:space="preserve">AI and LLM Systems: </w:t>
      </w:r>
      <w:r>
        <w:rPr>
          <w:sz w:val="19"/>
        </w:rPr>
        <w:t>Prompt Engineering, LLM Evaluation and Guardrails, Retrieval-Augmented Generation (RAG), Hybrid Search (BM25, Dense Embeddings, RRF), Citation Verification, Model Context Protocol (MCP), Hugging Face, ONNX Runtime</w:t>
      </w:r>
    </w:p>
    <w:p>
      <w:pPr>
        <w:spacing w:after="30" w:before="0"/>
      </w:pPr>
      <w:r>
        <w:rPr>
          <w:b/>
          <w:sz w:val="19"/>
        </w:rPr>
        <w:t xml:space="preserve">Engineering and MLOps: </w:t>
      </w:r>
      <w:r>
        <w:rPr>
          <w:sz w:val="19"/>
        </w:rPr>
        <w:t>Python, FastAPI, SQL, DuckDB, PostgreSQL, Redis, Docker, GCP Cloud Run, AWS ECS Fargate, Railway, Prefect, dbt-core, MLflow, Evidently, CI/CD (GitHub Actions), Git, Pytest, Streamlit, React</w:t>
      </w:r>
    </w:p>
    <w:p>
      <w:pPr>
        <w:spacing w:after="30" w:before="0"/>
      </w:pPr>
      <w:r>
        <w:rPr>
          <w:b/>
          <w:sz w:val="19"/>
        </w:rPr>
        <w:t xml:space="preserve">Machine Learning: </w:t>
      </w:r>
      <w:r>
        <w:rPr>
          <w:sz w:val="19"/>
        </w:rPr>
        <w:t>PyTorch, Scikit-learn, LightGBM, XGBoost, Deep Learning, Sequence Models (GRU, TCN, Transformers), Model Calibration (Isotonic Regression, Temperature Scaling), SHAP, Feature Engineering</w:t>
      </w:r>
    </w:p>
    <w:p>
      <w:pPr>
        <w:spacing w:after="30" w:before="0"/>
      </w:pPr>
      <w:r>
        <w:rPr>
          <w:b/>
          <w:sz w:val="19"/>
        </w:rPr>
        <w:t xml:space="preserve">Payments and Risk: </w:t>
      </w:r>
      <w:r>
        <w:rPr>
          <w:sz w:val="19"/>
        </w:rPr>
        <w:t>Transaction Fraud Detection, Credit Risk Decisioning, Payment Reconciliation, Double-Entry Ledgers and Idempotency, Regulatory Compliance (CBN/NDPA), Demand Forecasting, Web3 Fraud Risk Scoring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PROJECTS</w:t>
      </w:r>
    </w:p>
    <w:p>
      <w:pPr>
        <w:spacing w:after="0" w:before="0"/>
      </w:pPr>
      <w:r>
        <w:rPr>
          <w:b/>
          <w:sz w:val="20"/>
        </w:rPr>
        <w:t>Uplift Modelling for Campaign Targeting</w:t>
      </w:r>
      <w:r>
        <w:rPr>
          <w:sz w:val="19"/>
        </w:rPr>
        <w:t xml:space="preserve">  |  </w:t>
      </w:r>
      <w:hyperlink r:id="rId11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scikit-learn, LightGBM, EconML, pytest, GitHub Actions</w:t>
      </w:r>
    </w:p>
    <w:p>
      <w:pPr>
        <w:pStyle w:val="ListBullet"/>
        <w:spacing w:after="30"/>
        <w:ind w:left="317"/>
      </w:pPr>
      <w:r>
        <w:rPr>
          <w:sz w:val="19"/>
        </w:rPr>
        <w:t>Ran a causal inference study on the Hillstrom randomised e-mail trial (64,000 customers) to decide which customers to contact under a fixed budget, delivered as a two-page decision memo for a marketing director.</w:t>
      </w:r>
    </w:p>
    <w:p>
      <w:pPr>
        <w:pStyle w:val="ListBullet"/>
        <w:spacing w:after="30"/>
        <w:ind w:left="317"/>
      </w:pPr>
      <w:r>
        <w:rPr>
          <w:sz w:val="19"/>
        </w:rPr>
        <w:t>Showed the campaign works (1.25% conversion against 0.57%) but that a non-randomised list overstates the effect by 7.5×, and that a response model mails five times as many customers the campaign harms as an uplift model does.</w:t>
      </w:r>
    </w:p>
    <w:p>
      <w:pPr>
        <w:pStyle w:val="ListBullet"/>
        <w:spacing w:after="30"/>
        <w:ind w:left="317"/>
      </w:pPr>
      <w:r>
        <w:rPr>
          <w:sz w:val="19"/>
        </w:rPr>
        <w:t>Evaluated with Qini curves, AUUC, decile tables and bootstrap intervals; uplift targeting was worth about $1,390 against about $3,170 for raising the budget, and a failed placebo test on the primary campaign was reported openly.</w:t>
      </w:r>
    </w:p>
    <w:p>
      <w:pPr>
        <w:spacing w:after="0" w:before="100"/>
      </w:pPr>
      <w:r>
        <w:rPr>
          <w:b/>
          <w:sz w:val="20"/>
        </w:rPr>
        <w:t>Reckon: Payment Reconciliation and Review System</w:t>
      </w:r>
      <w:r>
        <w:rPr>
          <w:sz w:val="19"/>
        </w:rPr>
        <w:t xml:space="preserve">  |  </w:t>
      </w:r>
      <w:hyperlink r:id="rId12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  <w:r>
        <w:rPr>
          <w:sz w:val="19"/>
        </w:rPr>
        <w:t xml:space="preserve">  |  </w:t>
      </w:r>
      <w:hyperlink r:id="rId13">
        <w:r>
          <w:rPr>
            <w:rFonts w:ascii="Arial" w:hAnsi="Arial"/>
            <w:color w:val="1F4E79"/>
            <w:u w:val="single"/>
            <w:sz w:val="19"/>
          </w:rPr>
          <w:t>Live App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PyTorch, DuckDB, FastAPI, React, Docker, Railway, PostgreSQL</w:t>
      </w:r>
    </w:p>
    <w:p>
      <w:pPr>
        <w:pStyle w:val="ListBullet"/>
        <w:spacing w:after="30"/>
        <w:ind w:left="317"/>
      </w:pPr>
      <w:r>
        <w:rPr>
          <w:sz w:val="19"/>
        </w:rPr>
        <w:t>Built and deployed a payment reconciliation system processing multi-source transaction feeds to detect uncollected revenue, duplicate settlements and payout discrepancies, combining deterministic matching rules with ML-assisted discrepancy resolution.</w:t>
      </w:r>
    </w:p>
    <w:p>
      <w:pPr>
        <w:pStyle w:val="ListBullet"/>
        <w:spacing w:after="30"/>
        <w:ind w:left="317"/>
      </w:pPr>
      <w:r>
        <w:rPr>
          <w:sz w:val="19"/>
        </w:rPr>
        <w:t>Engineered a multi-stage reconciliation pipeline using DuckDB and FastAPI, with temporal join logic and tolerance thresholds to handle asynchronous processor webhooks and bank settlement files.</w:t>
      </w:r>
    </w:p>
    <w:p>
      <w:pPr>
        <w:pStyle w:val="ListBullet"/>
        <w:spacing w:after="30"/>
        <w:ind w:left="317"/>
      </w:pPr>
      <w:r>
        <w:rPr>
          <w:sz w:val="19"/>
        </w:rPr>
        <w:t>Designed a human-in-the-loop review interface in React showing match confidence scores, audit trails and suggested resolution actions to streamline exception handling.</w:t>
      </w:r>
    </w:p>
    <w:p>
      <w:pPr>
        <w:spacing w:after="0" w:before="100"/>
      </w:pPr>
      <w:r>
        <w:rPr>
          <w:b/>
          <w:sz w:val="20"/>
        </w:rPr>
        <w:t>Fintech Compliance RAG Assistant</w:t>
      </w:r>
      <w:r>
        <w:rPr>
          <w:sz w:val="19"/>
        </w:rPr>
        <w:t xml:space="preserve">  |  </w:t>
      </w:r>
      <w:hyperlink r:id="rId14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  <w:r>
        <w:rPr>
          <w:sz w:val="19"/>
        </w:rPr>
        <w:t xml:space="preserve">  |  </w:t>
      </w:r>
      <w:hyperlink r:id="rId15">
        <w:r>
          <w:rPr>
            <w:rFonts w:ascii="Arial" w:hAnsi="Arial"/>
            <w:color w:val="1F4E79"/>
            <w:u w:val="single"/>
            <w:sz w:val="19"/>
          </w:rPr>
          <w:t>Live App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Streamlit, BM25, ONNX Runtime, Reciprocal Rank Fusion, FastAPI, Docker, GCP Cloud Run</w:t>
      </w:r>
    </w:p>
    <w:p>
      <w:pPr>
        <w:pStyle w:val="ListBullet"/>
        <w:spacing w:after="30"/>
        <w:ind w:left="317"/>
      </w:pPr>
      <w:r>
        <w:rPr>
          <w:sz w:val="19"/>
        </w:rPr>
        <w:t>Designed generation to fail safely under uncertainty: a sentinel-token refusal mechanism enforced across the prompt, output guardrail and evaluation harness, plus post-generation citation verification that strips any marker the model cited but never retrieved.</w:t>
      </w:r>
    </w:p>
    <w:p>
      <w:pPr>
        <w:pStyle w:val="ListBullet"/>
        <w:spacing w:after="30"/>
        <w:ind w:left="317"/>
      </w:pPr>
      <w:r>
        <w:rPr>
          <w:sz w:val="19"/>
        </w:rPr>
        <w:t>Ran retrieval and generation evaluation as separate metrics to localise failure by component; traced a 0.40 refusal-correctness result to a lexical-overlap limitation in the offline stub judge and flagged re-validation against a live provider as the next step instead of overstating readiness.</w:t>
      </w:r>
    </w:p>
    <w:p>
      <w:pPr>
        <w:spacing w:after="0" w:before="100"/>
      </w:pPr>
      <w:r>
        <w:rPr>
          <w:b/>
          <w:sz w:val="20"/>
        </w:rPr>
        <w:t>Sequence-Based Transaction Fraud Detection System</w:t>
      </w:r>
      <w:r>
        <w:rPr>
          <w:sz w:val="19"/>
        </w:rPr>
        <w:t xml:space="preserve">  |  </w:t>
      </w:r>
      <w:hyperlink r:id="rId16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PyTorch, LightGBM, ONNX Runtime, FastAPI, Docker, SHAP</w:t>
      </w:r>
    </w:p>
    <w:p>
      <w:pPr>
        <w:pStyle w:val="ListBullet"/>
        <w:spacing w:after="30"/>
        <w:ind w:left="317"/>
      </w:pPr>
      <w:r>
        <w:rPr>
          <w:sz w:val="19"/>
        </w:rPr>
        <w:t>Deployed real-time scoring by exporting to ONNX Runtime (2.9× faster than eager PyTorch at batch size 1) and serving via FastAPI, reaching 5.1 ms p99 end-to-end latency against a 50 ms budget, with append-only per-decision audit logging and attention-based attribution of the prior transactions driving each flag.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EXPERIENCE</w:t>
      </w:r>
    </w:p>
    <w:p>
      <w:pPr>
        <w:tabs>
          <w:tab w:pos="10224" w:val="right"/>
        </w:tabs>
        <w:spacing w:after="20" w:before="0"/>
      </w:pPr>
      <w:r>
        <w:rPr>
          <w:b/>
        </w:rPr>
        <w:t>Machine Learning Instructor, SQI College of ICT</w:t>
      </w:r>
      <w:r>
        <w:rPr>
          <w:sz w:val="19"/>
        </w:rPr>
        <w:tab/>
        <w:t>March 2026 to Present</w:t>
      </w:r>
    </w:p>
    <w:p>
      <w:pPr>
        <w:pStyle w:val="ListBullet"/>
        <w:spacing w:after="30"/>
        <w:ind w:left="317"/>
      </w:pPr>
      <w:r>
        <w:rPr>
          <w:sz w:val="19"/>
        </w:rPr>
        <w:t>Teach machine learning and deep learning to student cohorts, covering statistical foundations, classical ML algorithms, neural architectures, sequence models and production evaluation metrics.</w:t>
      </w:r>
    </w:p>
    <w:p>
      <w:pPr>
        <w:pStyle w:val="ListBullet"/>
        <w:spacing w:after="30"/>
        <w:ind w:left="317"/>
      </w:pPr>
      <w:r>
        <w:rPr>
          <w:sz w:val="19"/>
        </w:rPr>
        <w:t>Instruct students on data analysis, feature engineering and model building with PyTorch, Scikit-Learn, Pandas and NumPy.</w:t>
      </w:r>
    </w:p>
    <w:p>
      <w:pPr>
        <w:tabs>
          <w:tab w:pos="10224" w:val="right"/>
        </w:tabs>
        <w:spacing w:after="20" w:before="100"/>
      </w:pPr>
      <w:r>
        <w:rPr>
          <w:b/>
        </w:rPr>
        <w:t>Internal Auditor, NISER</w:t>
      </w:r>
      <w:r>
        <w:rPr>
          <w:sz w:val="19"/>
        </w:rPr>
        <w:tab/>
        <w:t>May 2024 to July 2024</w:t>
      </w:r>
    </w:p>
    <w:p>
      <w:pPr>
        <w:pStyle w:val="ListBullet"/>
        <w:spacing w:after="30"/>
        <w:ind w:left="317"/>
      </w:pPr>
      <w:r>
        <w:rPr>
          <w:sz w:val="19"/>
        </w:rPr>
        <w:t>Analysed financial and operational records to identify inconsistencies and irregularities, performing manual anomaly detection across complex transactional datasets.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EDUCATION</w:t>
      </w:r>
    </w:p>
    <w:p>
      <w:pPr>
        <w:tabs>
          <w:tab w:pos="10224" w:val="right"/>
        </w:tabs>
        <w:spacing w:after="20" w:before="0"/>
      </w:pPr>
      <w:r>
        <w:rPr>
          <w:b/>
        </w:rPr>
        <w:t>B.Sc. Statistics, University of Ibadan</w:t>
      </w:r>
      <w:r>
        <w:rPr>
          <w:sz w:val="19"/>
        </w:rPr>
        <w:tab/>
        <w:t>January 2021 to March 2025</w:t>
      </w:r>
    </w:p>
    <w:p>
      <w:pPr>
        <w:tabs>
          <w:tab w:pos="10224" w:val="right"/>
        </w:tabs>
        <w:spacing w:after="20" w:before="0"/>
      </w:pPr>
      <w:r>
        <w:rPr>
          <w:b/>
        </w:rPr>
        <w:t>Professional Diploma in Artificial Intelligence, SQI College of ICT</w:t>
      </w:r>
      <w:r>
        <w:rPr>
          <w:sz w:val="19"/>
        </w:rPr>
        <w:tab/>
        <w:t>July 2025 to Present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CERTIFICATIONS</w:t>
      </w:r>
    </w:p>
    <w:p>
      <w:pPr>
        <w:pStyle w:val="ListBullet"/>
        <w:spacing w:after="30"/>
        <w:ind w:left="317"/>
      </w:pPr>
      <w:r>
        <w:rPr>
          <w:sz w:val="19"/>
        </w:rPr>
        <w:t>Google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Google Advanced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Claude Code In Action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inkedin.com/in/oluwatobi-mayungbo-3a567026b" TargetMode="External"/><Relationship Id="rId10" Type="http://schemas.openxmlformats.org/officeDocument/2006/relationships/hyperlink" Target="https://github.com/MelvTheGoat" TargetMode="External"/><Relationship Id="rId11" Type="http://schemas.openxmlformats.org/officeDocument/2006/relationships/hyperlink" Target="https://github.com/MelvTheGoat/Uplift-Modelling-Decision" TargetMode="External"/><Relationship Id="rId12" Type="http://schemas.openxmlformats.org/officeDocument/2006/relationships/hyperlink" Target="https://github.com/MelvTheGoat/Stack" TargetMode="External"/><Relationship Id="rId13" Type="http://schemas.openxmlformats.org/officeDocument/2006/relationships/hyperlink" Target="https://stack-production-d2a4.up.railway.app/review" TargetMode="External"/><Relationship Id="rId14" Type="http://schemas.openxmlformats.org/officeDocument/2006/relationships/hyperlink" Target="https://github.com/MelvTheGoat/Nigerian-Fintech-Compliance-RAG" TargetMode="External"/><Relationship Id="rId15" Type="http://schemas.openxmlformats.org/officeDocument/2006/relationships/hyperlink" Target="https://nigerian-fintech-regulation-assistant-474115007874.europe-west1.run.app/" TargetMode="External"/><Relationship Id="rId16" Type="http://schemas.openxmlformats.org/officeDocument/2006/relationships/hyperlink" Target="https://github.com/MelvTheGoat/Fraud-Detection-With-Sequence-Model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Oluwatobi Melvyn Mayungbo CV</dc:title>
  <dc:subject/>
  <dc:creator>Oluwatobi Melvyn Mayungbo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