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Scientist, Statistics and Forecasting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Quantitative data scientist with a B.Sc. in Statistics. Builds models that turn predictions into cost-optimal decisions under explicit costs and budgets, in Python with NumPy, pandas and PyTorch, and validates them with backtesting and calibration checks. Has built a double-entry ledger with correctness enforced in the database.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Time-Series Backtesting, Logistic Regression, Experiment Design, Power Analysis, CUPED, Causal Inference (S/T/X-Learners, Causal Forests), Uplift Modeling, Qini and AUUC, WOE Scorecards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LightGBM, Model Calibration (Isotonic Regression, Temperature Scaling), Scikit-learn, XGBoost, Deep Learning, Sequence Models (GRU, TCN, Transformers), SHAP, Feature Engineering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NumPy, Pandas, SQL, Anomaly Detection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PostgreSQL, DuckDB, Redis, FastAPI, Docker,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Modelled asymmetric business cost by penalising unmet demand at 3× idle supply and shipping the cost-optimal quantile rather than the median, cutting expected cost by 25% on an identical model and beating a seasonal-naive baseline by 32%.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0" w:before="100"/>
      </w:pPr>
      <w:r>
        <w:rPr>
          <w:b/>
          <w:sz w:val="20"/>
        </w:rPr>
        <w:t>Credit Risk Decisioning and Fairness Audit System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SHAP, WOE Scorecards, FastAPI, Docker</w:t>
      </w:r>
    </w:p>
    <w:p>
      <w:pPr>
        <w:pStyle w:val="ListBullet"/>
        <w:spacing w:after="30"/>
        <w:ind w:left="317"/>
      </w:pPr>
      <w:r>
        <w:rPr>
          <w:sz w:val="19"/>
        </w:rPr>
        <w:t>Developed a full credit decisioning system producing calibrated default probabilities, cost-optimal approve and decline cutoffs, adverse action reason codes and an append-only audit trail that lets any individual decision be reconstructed months later.</w:t>
      </w:r>
    </w:p>
    <w:p>
      <w:pPr>
        <w:pStyle w:val="ListBullet"/>
        <w:spacing w:after="30"/>
        <w:ind w:left="317"/>
      </w:pPr>
      <w:r>
        <w:rPr>
          <w:sz w:val="19"/>
        </w:rPr>
        <w:t>Benchmarked gradient boosting against a traditional WOE-binned logistic scorecard, prioritising calibration quality (Brier score, reliability diagrams, expected calibration error) over ranking metrics, because expected loss needs true probabilities rather than rankings.</w:t>
      </w:r>
    </w:p>
    <w:p>
      <w:pPr>
        <w:spacing w:after="0" w:before="100"/>
      </w:pPr>
      <w:r>
        <w:rPr>
          <w:b/>
          <w:sz w:val="20"/>
        </w:rPr>
        <w:t>Uplift Modelling for Campaign Targeting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scikit-learn, LightGBM, EconML, pytest, GitHub Actions</w:t>
      </w:r>
    </w:p>
    <w:p>
      <w:pPr>
        <w:pStyle w:val="ListBullet"/>
        <w:spacing w:after="30"/>
        <w:ind w:left="317"/>
      </w:pPr>
      <w:r>
        <w:rPr>
          <w:sz w:val="19"/>
        </w:rPr>
        <w:t>Evaluated with Qini curves, AUUC, decile tables and bootstrap intervals; uplift targeting was worth about $1,390 against about $3,170 for raising the budget, and a failed placebo test on the primary campaign was reported openly.</w:t>
      </w:r>
    </w:p>
    <w:p>
      <w:pPr>
        <w:spacing w:after="0" w:before="100"/>
      </w:pPr>
      <w:r>
        <w:rPr>
          <w:b/>
          <w:sz w:val="20"/>
        </w:rPr>
        <w:t>Production-Grade Double-Entry Ledger API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 3.12, FastAPI, PostgreSQL 16, Redis 7, Alembic, Docker</w:t>
      </w:r>
    </w:p>
    <w:p>
      <w:pPr>
        <w:pStyle w:val="ListBullet"/>
        <w:spacing w:after="30"/>
        <w:ind w:left="317"/>
      </w:pPr>
      <w:r>
        <w:rPr>
          <w:sz w:val="19"/>
        </w:rPr>
        <w:t>Built a double-entry ledger and payments API where correctness under concurrency, retries, partial failure and replay is enforced in the database: integer minor units, every transaction summing to zero through a deferred constraint trigger, and an append-only ledger where corrections are reversals.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yc-taxi-demand-forecast" TargetMode="External"/><Relationship Id="rId12" Type="http://schemas.openxmlformats.org/officeDocument/2006/relationships/hyperlink" Target="https://github.com/MelvTheGoat/Credit-Risk-Decisioning" TargetMode="External"/><Relationship Id="rId13" Type="http://schemas.openxmlformats.org/officeDocument/2006/relationships/hyperlink" Target="https://credit-risk-decisioning-702657773047.europe-west1.run.app/" TargetMode="External"/><Relationship Id="rId14" Type="http://schemas.openxmlformats.org/officeDocument/2006/relationships/hyperlink" Target="https://github.com/MelvTheGoat/Uplift-Modelling-Decision" TargetMode="External"/><Relationship Id="rId15" Type="http://schemas.openxmlformats.org/officeDocument/2006/relationships/hyperlink" Target="https://github.com/MelvTheGoat/Production-Grade-Double-Entry-Ledger-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