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Engineer who builds and debugs API-driven AI services. Built a resilient HTTP layer with caching, per-source rate limits and retries with backoff, an LLM assistant with request caps and guardrails, and load tested a PostgreSQL service to find its saturation point and p99 latency. Works in Python and SQL.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PostgreSQL, SQL, Docker, Redis, FastAPI, CI/CD (GitHub Actions), DuckDB, GCP Cloud Run, AWS ECS Fargate, Railway, Prefect, dbt-core,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Prompt Engineering, Model Context Protocol (MCP), Retrieval-Augmented Generation (RAG),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pStyle w:val="ListBullet"/>
        <w:spacing w:after="30"/>
        <w:ind w:left="317"/>
      </w:pPr>
      <w:r>
        <w:rPr>
          <w:sz w:val="19"/>
        </w:rPr>
        <w:t>Benchmarked pessimistic against optimistic locking: on a hot single account pessimistic reached 144.8 tps against 41.3 tps (3.5×) while optimistic shed 46% of writes as conflicts; spread across 16 accounts it was 206.5 tps against 112.6 tps.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Production-Grade-Double-Entry-Ledger-API" TargetMode="External"/><Relationship Id="rId13" Type="http://schemas.openxmlformats.org/officeDocument/2006/relationships/hyperlink" Target="https://github.com/MelvTheGoat/Nigerian-Fintech-Compliance-RAG" TargetMode="External"/><Relationship Id="rId14" Type="http://schemas.openxmlformats.org/officeDocument/2006/relationships/hyperlink" Target="https://nigerian-fintech-regulation-assistant-474115007874.europe-west1.run.app/" TargetMode="External"/><Relationship Id="rId15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