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Machine Learning Engineer,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scientist with a B.Sc. in Statistics focused on financial crime and fraud. Built transaction fraud detection with per-attack analysis, wallet screening against sanctioned and mixer addresses, and a compliance assistant over central bank regulation, all documented for review. Works in SQL and Python.</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Regulatory Compliance (CBN/NDPA), Web3 Fraud Risk Scoring, Credit Risk Decisioning, Payment Reconciliation, Double-Entry Ledgers and Idempotency, Demand Forecasting</w:t>
      </w:r>
    </w:p>
    <w:p>
      <w:pPr>
        <w:spacing w:after="30" w:before="0"/>
      </w:pPr>
      <w:r>
        <w:rPr>
          <w:b/>
          <w:sz w:val="19"/>
        </w:rPr>
        <w:t xml:space="preserve">Engineering and MLOps: </w:t>
      </w:r>
      <w:r>
        <w:rPr>
          <w:sz w:val="19"/>
        </w:rPr>
        <w:t>SQL, Python, DuckDB, PostgreSQL, Redis, FastAPI, Docker, GCP Cloud Run, AWS ECS Fargate, Railway, Prefect, dbt-core, MLflow, Evidently, CI/CD (GitHub Actions), Git, Pytest, Streamlit, React</w:t>
      </w:r>
    </w:p>
    <w:p>
      <w:pPr>
        <w:spacing w:after="30" w:before="0"/>
      </w:pPr>
      <w:r>
        <w:rPr>
          <w:b/>
          <w:sz w:val="19"/>
        </w:rPr>
        <w:t xml:space="preserve">Machine Learning: </w:t>
      </w:r>
      <w:r>
        <w:rPr>
          <w:sz w:val="19"/>
        </w:rPr>
        <w:t>LightGBM, Scikit-learn, SHAP, Model Calibration (Isotonic Regression, Temperature Scaling), PyTorch, XGBoost, Deep Learning, Sequence Models (GRU, TCN, Transformers),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Data Analysis: </w:t>
      </w:r>
      <w:r>
        <w:rPr>
          <w:sz w:val="19"/>
        </w:rPr>
        <w:t>Pandas, NumPy, SQL, Anomaly Detection</w:t>
      </w:r>
    </w:p>
    <w:p>
      <w:pPr>
        <w:spacing w:after="30" w:before="0"/>
      </w:pPr>
      <w:r>
        <w:rPr>
          <w:b/>
          <w:sz w:val="19"/>
        </w:rPr>
        <w:t xml:space="preserve">AI and LLM Systems: </w:t>
      </w:r>
      <w:r>
        <w:rPr>
          <w:sz w:val="19"/>
        </w:rPr>
        <w:t>Retrieval-Augmented Generation (RAG), Hybrid Search (BM25, Dense Embeddings, RRF), LLM Evaluation and Guardrails, Prompt Engineering, Citation Verification, Model Context Protocol (MCP), Hugging Face, ONNX Runtime</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Handled extreme class imbalance with focal loss and weighted sampling and isolated their failure modes: focal loss degraded probability calibration (ECE 0.0063) while weighted sampling cost 0.042 PR-AUC. Corrected calibration with temperature scaling and isotonic regression, reducing ECE to 0.0005.</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spacing w:after="0" w:before="100"/>
      </w:pPr>
      <w:r>
        <w:rPr>
          <w:b/>
          <w:sz w:val="20"/>
        </w:rPr>
        <w:t>web3-risk-mcp: Web3 Fraud Risk MCP Server</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Designed a rule-based, fully explainable scorer where findings carry stable IDs and decisive findings set a floor of 75 so trust signals can never hide them; each score carries a confidence level based on how many sources answered.</w:t>
      </w:r>
    </w:p>
    <w:p>
      <w:pPr>
        <w:spacing w:after="0" w:before="100"/>
      </w:pPr>
      <w:r>
        <w:rPr>
          <w:b/>
          <w:sz w:val="20"/>
        </w:rPr>
        <w:t>Credit Risk Decisioning and Fairness Audit System</w:t>
      </w:r>
      <w:r>
        <w:rPr>
          <w:sz w:val="19"/>
        </w:rPr>
        <w:t xml:space="preserve">  |  </w:t>
      </w:r>
      <w:hyperlink r:id="rId13">
        <w:r>
          <w:rPr>
            <w:rFonts w:ascii="Arial" w:hAnsi="Arial"/>
            <w:color w:val="1F4E79"/>
            <w:u w:val="single"/>
            <w:sz w:val="19"/>
          </w:rPr>
          <w:t>GitHub</w:t>
        </w:r>
      </w:hyperlink>
      <w:r>
        <w:rPr>
          <w:sz w:val="19"/>
        </w:rPr>
        <w:t xml:space="preserve">  |  </w:t>
      </w:r>
      <w:hyperlink r:id="rId14">
        <w:r>
          <w:rPr>
            <w:rFonts w:ascii="Arial" w:hAnsi="Arial"/>
            <w:color w:val="1F4E79"/>
            <w:u w:val="single"/>
            <w:sz w:val="19"/>
          </w:rPr>
          <w:t>Live App</w:t>
        </w:r>
      </w:hyperlink>
    </w:p>
    <w:p>
      <w:pPr>
        <w:spacing w:after="30" w:before="0"/>
      </w:pPr>
      <w:r>
        <w:rPr>
          <w:b w:val="0"/>
          <w:i/>
          <w:color w:val="404040"/>
          <w:sz w:val="18"/>
        </w:rPr>
        <w:t>Tech: Python, LightGBM, scikit-learn, SHAP, WOE Scorecards, FastAPI, Docker</w:t>
      </w:r>
    </w:p>
    <w:p>
      <w:pPr>
        <w:pStyle w:val="ListBullet"/>
        <w:spacing w:after="30"/>
        <w:ind w:left="317"/>
      </w:pPr>
      <w:r>
        <w:rPr>
          <w:sz w:val="19"/>
        </w:rPr>
        <w:t>Developed a full credit decisioning system producing calibrated default probabilities, cost-optimal approve and decline cutoffs, adverse action reason codes and an append-only audit trail that lets any individual decision be reconstructed months later.</w:t>
      </w:r>
    </w:p>
    <w:p>
      <w:pPr>
        <w:spacing w:after="0" w:before="100"/>
      </w:pPr>
      <w:r>
        <w:rPr>
          <w:b/>
          <w:sz w:val="20"/>
        </w:rPr>
        <w:t>Fintech Compliance RAG Assistant</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web3-risk-mcp" TargetMode="External"/><Relationship Id="rId13" Type="http://schemas.openxmlformats.org/officeDocument/2006/relationships/hyperlink" Target="https://github.com/MelvTheGoat/Credit-Risk-Decisioning" TargetMode="External"/><Relationship Id="rId14" Type="http://schemas.openxmlformats.org/officeDocument/2006/relationships/hyperlink" Target="https://credit-risk-decisioning-702657773047.europe-west1.run.app/" TargetMode="External"/><Relationship Id="rId15" Type="http://schemas.openxmlformats.org/officeDocument/2006/relationships/hyperlink" Target="https://github.com/MelvTheGoat/Nigerian-Fintech-Compliance-RAG" TargetMode="External"/><Relationship Id="rId16"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