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AI Engineer, LLM and Retrieval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ML engineer focused on search and ranking quality. Built hybrid retrieval with BM25 and dense embeddings fused by reciprocal rank fusion at 0.96 recall@5 and 0.842 MRR, structure-aware chunking, and ranking-style models judged on precision at fixed capacity. Ships models in production with FastAPI.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Hybrid Search (BM25, Dense Embeddings, RRF), Retrieval-Augmented Generation (RAG), LLM Evaluation and Guardrails, Hugging Face, Prompt Engineering, Citation Verification, Model Context Protocol (MCP), ONNX Runtime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LightGBM, PyTorch, Feature Engineering, Scikit-learn, XGBoost, Deep Learning, Sequence Models (GRU, TCN, Transformers), Model Calibration (Isotonic Regression, Temperature Scaling), SHAP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FastAPI, Docker, SQL, DuckDB, PostgreSQL, Redis,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pStyle w:val="ListBullet"/>
        <w:spacing w:after="30"/>
        <w:ind w:left="317"/>
      </w:pPr>
      <w:r>
        <w:rPr>
          <w:sz w:val="19"/>
        </w:rPr>
        <w:t>Engineered section-aware chunking that never merges across a document's own structural boundaries, keeping every citation attributable to exactly one clause, and validated it against a structure-blind fixed-window baseline rather than asserting it was better.</w:t>
      </w:r>
    </w:p>
    <w:p>
      <w:pPr>
        <w:pStyle w:val="ListBullet"/>
        <w:spacing w:after="30"/>
        <w:ind w:left="317"/>
      </w:pPr>
      <w:r>
        <w:rPr>
          <w:sz w:val="19"/>
        </w:rPr>
        <w:t>Ran retrieval and generation evaluation as separate metrics to localise failure by component; traced a 0.40 refusal-correctness result to a lexical-overlap limitation in the offline stub judge and flagged re-validation against a live provider as the next step instead of overstating readiness.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spacing w:after="0" w:before="100"/>
      </w:pPr>
      <w:r>
        <w:rPr>
          <w:b/>
          <w:sz w:val="20"/>
        </w:rPr>
        <w:t>Premier League Match Predictor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pandas, SQLite, Flask, Vercel</w:t>
      </w:r>
    </w:p>
    <w:p>
      <w:pPr>
        <w:pStyle w:val="ListBullet"/>
        <w:spacing w:after="30"/>
        <w:ind w:left="317"/>
      </w:pPr>
      <w:r>
        <w:rPr>
          <w:sz w:val="19"/>
        </w:rPr>
        <w:t>Blended a LightGBM classifier over a 204-column feature table with a multinomial logistic regression, trained on log loss so draws keep realistic probability.</w:t>
      </w:r>
    </w:p>
    <w:p>
      <w:pPr>
        <w:pStyle w:val="ListBullet"/>
        <w:spacing w:after="30"/>
        <w:ind w:left="317"/>
      </w:pPr>
      <w:r>
        <w:rPr>
          <w:sz w:val="19"/>
        </w:rPr>
        <w:t>Backtested gameweek by gameweek over 1,050 matches: 52.1% outcome accuracy against 43.2% for always picking the home side, and log loss 0.9948 against 1.0061 for an Elo-only baseline, with well calibrated probabilities.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igerian-Fintech-Compliance-RAG" TargetMode="External"/><Relationship Id="rId12" Type="http://schemas.openxmlformats.org/officeDocument/2006/relationships/hyperlink" Target="https://nigerian-fintech-regulation-assistant-474115007874.europe-west1.run.app/" TargetMode="External"/><Relationship Id="rId13" Type="http://schemas.openxmlformats.org/officeDocument/2006/relationships/hyperlink" Target="https://github.com/MelvTheGoat/Fraud-Detection-With-Sequence-Models" TargetMode="External"/><Relationship Id="rId14" Type="http://schemas.openxmlformats.org/officeDocument/2006/relationships/hyperlink" Target="https://github.com/MelvTheGoat/Premier-Leag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