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Engineer,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Machine learning engineer focused on payment fraud. Built sequence-based fraud detection judged per attack type and served at 5.1 ms p99, and an explainable rule-based risk scorer that traces funds to mixers and phishing addresses. Works in Python and SQL with a B.Sc. in Statistics.</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Web3 Fraud Risk Scoring, Credit Risk Decisioning, Payment Reconciliation, Double-Entry Ledgers and Idempotency, Regulatory Compliance (CBN/NDPA), Demand Forecasting</w:t>
      </w:r>
    </w:p>
    <w:p>
      <w:pPr>
        <w:spacing w:after="30" w:before="0"/>
      </w:pPr>
      <w:r>
        <w:rPr>
          <w:b/>
          <w:sz w:val="19"/>
        </w:rPr>
        <w:t xml:space="preserve">Machine Learning: </w:t>
      </w:r>
      <w:r>
        <w:rPr>
          <w:sz w:val="19"/>
        </w:rPr>
        <w:t>PyTorch, LightGBM, XGBoost, Sequence Models (GRU, TCN, Transformers), Feature Engineering, Scikit-learn, Deep Learning, Model Calibration (Isotonic Regression, Temperature Scaling), SHAP</w:t>
      </w:r>
    </w:p>
    <w:p>
      <w:pPr>
        <w:spacing w:after="30" w:before="0"/>
      </w:pPr>
      <w:r>
        <w:rPr>
          <w:b/>
          <w:sz w:val="19"/>
        </w:rPr>
        <w:t xml:space="preserve">Engineering and MLOps: </w:t>
      </w:r>
      <w:r>
        <w:rPr>
          <w:sz w:val="19"/>
        </w:rPr>
        <w:t>Python, SQL, FastAPI, Docker, DuckDB, PostgreSQL, Redis, GCP Cloud Run, AWS ECS Fargate, Railway, Prefect, dbt-core, MLflow,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Data Analysis: </w:t>
      </w:r>
      <w:r>
        <w:rPr>
          <w:sz w:val="19"/>
        </w:rPr>
        <w:t>Pandas, NumPy, SQL, Anomaly Detection</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spacing w:after="0" w:before="100"/>
      </w:pPr>
      <w:r>
        <w:rPr>
          <w:b/>
          <w:sz w:val="20"/>
        </w:rPr>
        <w:t>Credit Risk Decisioning and Fairness Audit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LightGBM, scikit-learn, SHAP, WOE Scorecards, FastAPI, Docker</w:t>
      </w:r>
    </w:p>
    <w:p>
      <w:pPr>
        <w:pStyle w:val="ListBullet"/>
        <w:spacing w:after="30"/>
        <w:ind w:left="317"/>
      </w:pPr>
      <w:r>
        <w:rPr>
          <w:sz w:val="19"/>
        </w:rPr>
        <w:t>Developed a full credit decisioning system producing calibrated default probabilities, cost-optimal approve and decline cutoffs, adverse action reason codes and an append-only audit trail that lets any individual decision be reconstructed months later.</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Credit-Risk-Decisioning" TargetMode="External"/><Relationship Id="rId14" Type="http://schemas.openxmlformats.org/officeDocument/2006/relationships/hyperlink" Target="https://credit-risk-decisioning-702657773047.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