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Data Scientist, Credit and Fraud Risk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Credit risk data scientist with a B.Sc. in Statistics. Built a credit decisioning system with calibrated default probabilities, cost-based cutoffs, reason codes, an audit trail and a fairness audit, and a compliance assistant over CBN circulars and the NDPA. Works in SQL and Python.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Credit Risk Decisioning, Regulatory Compliance (CBN/NDPA), Transaction Fraud Detection, Payment Reconciliation, Double-Entry Ledgers and Idempotency, Demand Forecasting, Web3 Fraud Risk Scoring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WOE Scorecards, Logistic Regression, Experiment Design, Statistical Inference, Power Analysis, CUPED, Causal Inference (S/T/X-Learners, Causal Forests), Uplift Modeling, Qini and AUUC, Time-Series Backtesting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LightGBM, SHAP, Model Calibration (Isotonic Regression, Temperature Scaling), PyTorch, Scikit-learn, XGBoost, Deep Learning, Sequence Models (GRU, TCN, Transformers), Feature Engineering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SQL, Python, DuckDB, PostgreSQL, Redis, FastAPI, Docker, GCP Cloud Run, AWS ECS Fargate, Railway, Prefect, dbt-core, MLflow, Evidently, CI/CD (GitHub Actions), Git, Pytest, Streamlit, React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Retrieval-Augmented Generation (RAG), Hybrid Search (BM25, Dense Embeddings, RRF), LLM Evaluation and Guardrails, Prompt Engineering, Citation Verification, Model Context Protocol (MCP), Hugging Face, ONNX Runtime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Credit Risk Decisioning and Fairness Audit System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LightGBM, scikit-learn, SHAP, WOE Scorecards, FastAPI, Docker</w:t>
      </w:r>
    </w:p>
    <w:p>
      <w:pPr>
        <w:pStyle w:val="ListBullet"/>
        <w:spacing w:after="30"/>
        <w:ind w:left="317"/>
      </w:pPr>
      <w:r>
        <w:rPr>
          <w:sz w:val="19"/>
        </w:rPr>
        <w:t>Developed a full credit decisioning system producing calibrated default probabilities, cost-optimal approve and decline cutoffs, adverse action reason codes and an append-only audit trail that lets any individual decision be reconstructed months later.</w:t>
      </w:r>
    </w:p>
    <w:p>
      <w:pPr>
        <w:pStyle w:val="ListBullet"/>
        <w:spacing w:after="30"/>
        <w:ind w:left="317"/>
      </w:pPr>
      <w:r>
        <w:rPr>
          <w:sz w:val="19"/>
        </w:rPr>
        <w:t>Benchmarked gradient boosting against a traditional WOE-binned logistic scorecard, prioritising calibration quality (Brier score, reliability diagrams, expected calibration error) over ranking metrics, because expected loss needs true probabilities rather than rankings.</w:t>
      </w:r>
    </w:p>
    <w:p>
      <w:pPr>
        <w:pStyle w:val="ListBullet"/>
        <w:spacing w:after="30"/>
        <w:ind w:left="317"/>
      </w:pPr>
      <w:r>
        <w:rPr>
          <w:sz w:val="19"/>
        </w:rPr>
        <w:t>Audited fairness across sex, age, education and marital status using demographic parity and equal opportunity differences plus within-group calibration, and presented the accuracy and fairness tradeoff curve as a policy decision rather than silently optimising it away.</w:t>
      </w:r>
    </w:p>
    <w:p>
      <w:pPr>
        <w:spacing w:after="0" w:before="100"/>
      </w:pPr>
      <w:r>
        <w:rPr>
          <w:b/>
          <w:sz w:val="20"/>
        </w:rPr>
        <w:t>Fintech Compliance RAG Assistant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Streamlit, BM25, ONNX Runtime, Reciprocal Rank Fusion, FastAPI, Docker, GCP Cloud Run</w:t>
      </w:r>
    </w:p>
    <w:p>
      <w:pPr>
        <w:pStyle w:val="ListBullet"/>
        <w:spacing w:after="30"/>
        <w:ind w:left="317"/>
      </w:pPr>
      <w:r>
        <w:rPr>
          <w:sz w:val="19"/>
        </w:rPr>
        <w:t>Built and deployed a regulatory question-answering system over central bank (CBN) circulars and the NDPA, combining sparse (BM25) and dense (ONNX-served MiniLM) retrieval fused via reciprocal rank fusion, reaching 0.96 recall@5 and 0.842 MRR on a 50-question labelled golden set with zero retrieval misses in the top 10.</w:t>
      </w:r>
    </w:p>
    <w:p>
      <w:pPr>
        <w:spacing w:after="0" w:before="100"/>
      </w:pPr>
      <w:r>
        <w:rPr>
          <w:b/>
          <w:sz w:val="20"/>
        </w:rPr>
        <w:t>Uplift Modelling for Campaign Targeting</w:t>
      </w:r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scikit-learn, LightGBM, EconML, pytest, GitHub Actions</w:t>
      </w:r>
    </w:p>
    <w:p>
      <w:pPr>
        <w:pStyle w:val="ListBullet"/>
        <w:spacing w:after="30"/>
        <w:ind w:left="317"/>
      </w:pPr>
      <w:r>
        <w:rPr>
          <w:sz w:val="19"/>
        </w:rPr>
        <w:t>Ran a causal inference study on the Hillstrom randomised e-mail trial (64,000 customers) to decide which customers to contact under a fixed budget, delivered as a two-page decision memo for a marketing director.</w:t>
      </w:r>
    </w:p>
    <w:p>
      <w:pPr>
        <w:spacing w:after="0" w:before="100"/>
      </w:pPr>
      <w:r>
        <w:rPr>
          <w:b/>
          <w:sz w:val="20"/>
        </w:rPr>
        <w:t>Self-Operating Demand Forecasting Platform</w:t>
      </w:r>
      <w:r>
        <w:rPr>
          <w:sz w:val="19"/>
        </w:rPr>
        <w:t xml:space="preserve">  |  </w:t>
      </w:r>
      <w:hyperlink r:id="rId16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Prefect, dbt-core, DuckDB, LightGBM, MLflow, Evidently, FastAPI,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end-to-end hourly demand forecasting system for NYC taxi zones, producing 24-hour quantile forecasts through an orchestrated Prefect pipeline spanning ingestion, dbt/DuckDB transformations, backtesting, drift monitoring and conditional retraining.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Credit-Risk-Decisioning" TargetMode="External"/><Relationship Id="rId12" Type="http://schemas.openxmlformats.org/officeDocument/2006/relationships/hyperlink" Target="https://credit-risk-decisioning-702657773047.europe-west1.run.app/" TargetMode="External"/><Relationship Id="rId13" Type="http://schemas.openxmlformats.org/officeDocument/2006/relationships/hyperlink" Target="https://github.com/MelvTheGoat/Nigerian-Fintech-Compliance-RAG" TargetMode="External"/><Relationship Id="rId14" Type="http://schemas.openxmlformats.org/officeDocument/2006/relationships/hyperlink" Target="https://nigerian-fintech-regulation-assistant-474115007874.europe-west1.run.app/" TargetMode="External"/><Relationship Id="rId15" Type="http://schemas.openxmlformats.org/officeDocument/2006/relationships/hyperlink" Target="https://github.com/MelvTheGoat/Uplift-Modelling-Decision" TargetMode="External"/><Relationship Id="rId16" Type="http://schemas.openxmlformats.org/officeDocument/2006/relationships/hyperlink" Target="https://github.com/MelvTheGoat/nyc-taxi-demand-foreca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