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AI engineer who builds agent tools and the checks around them. Built an MCP server of read-only tools for AI assistants, a retrieval assistant with guardrails, golden-set evaluation and citation verification, and a ledger API with idempotency, audit logs and reversals instead of edits. Works in Python, PostgreSQL and Docker.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Model Context Protocol (MCP), LLM Evaluation and Guardrails, Prompt Engineering, Retrieval-Augmented Generation (RAG), Citation Verification, Hybrid Search (BM25, Dense Embeddings, RRF),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PostgreSQL, FastAPI, Docker, CI/CD (GitHub Actions), SQL, DuckDB, Redis, GCP Cloud Run, AWS ECS Fargate, Railway, Prefect, dbt-core, MLflow, Evidently, Git, Pytest, Streamlit, React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pStyle w:val="ListBullet"/>
        <w:spacing w:after="30"/>
        <w:ind w:left="317"/>
      </w:pPr>
      <w:r>
        <w:rPr>
          <w:sz w:val="19"/>
        </w:rPr>
        <w:t>Designed a rule-based, fully explainable scorer where findings carry stable IDs and decisive findings set a floor of 75 so trust signals can never hide them; each score carries a confidence level based on how many sources answered.</w:t>
      </w:r>
    </w:p>
    <w:p>
      <w:pPr>
        <w:pStyle w:val="ListBullet"/>
        <w:spacing w:after="30"/>
        <w:ind w:left="317"/>
      </w:pPr>
      <w:r>
        <w:rPr>
          <w:sz w:val="19"/>
        </w:rPr>
        <w:t>Built a resilient HTTP layer with caching, per-source rate limits and retries with exponential backoff and jitter; one failing source never breaks an investigation, and missing data lowers confidence rather than the score.</w:t>
      </w:r>
    </w:p>
    <w:p>
      <w:pPr>
        <w:pStyle w:val="ListBullet"/>
        <w:spacing w:after="30"/>
        <w:ind w:left="317"/>
      </w:pPr>
      <w:r>
        <w:rPr>
          <w:sz w:val="19"/>
        </w:rPr>
        <w:t>Assembled an evaluation set of 34 hand-checked addresses (12 risky, 22 safe) with a record and replay harness reporting ROC AUC, precision and recall.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pStyle w:val="ListBullet"/>
        <w:spacing w:after="30"/>
        <w:ind w:left="317"/>
      </w:pPr>
      <w:r>
        <w:rPr>
          <w:sz w:val="19"/>
        </w:rPr>
        <w:t>Deployed on GCP Cloud Run via Docker within a ~225MB peak memory footprint (2GB budget), with per-session and daily request caps in application code to bound API cost on a public endpoint.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pStyle w:val="ListBullet"/>
        <w:spacing w:after="30"/>
        <w:ind w:left="317"/>
      </w:pPr>
      <w:r>
        <w:rPr>
          <w:sz w:val="19"/>
        </w:rPr>
        <w:t>Required an Idempotency-Key on every mutating endpoint so a replayed key returns the original response and creates nothing; events go out through a transactional outbox.</w:t>
      </w:r>
    </w:p>
    <w:p>
      <w:pPr>
        <w:pStyle w:val="ListBullet"/>
        <w:spacing w:after="30"/>
        <w:ind w:left="317"/>
      </w:pPr>
      <w:r>
        <w:rPr>
          <w:sz w:val="19"/>
        </w:rPr>
        <w:t>Wrote 138 tests against real PostgreSQL and Redis, including a concurrency test where exactly half of N simultaneous transfers succeed and no balance goes negative.</w:t>
      </w:r>
    </w:p>
    <w:p>
      <w:pPr>
        <w:spacing w:after="0" w:before="10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web3-risk-mcp" TargetMode="External"/><Relationship Id="rId12" Type="http://schemas.openxmlformats.org/officeDocument/2006/relationships/hyperlink" Target="https://github.com/MelvTheGoat/Nigerian-Fintech-Compliance-RAG" TargetMode="External"/><Relationship Id="rId13" Type="http://schemas.openxmlformats.org/officeDocument/2006/relationships/hyperlink" Target="https://nigerian-fintech-regulation-assistant-474115007874.europe-west1.run.app/" TargetMode="External"/><Relationship Id="rId14" Type="http://schemas.openxmlformats.org/officeDocument/2006/relationships/hyperlink" Target="https://github.com/MelvTheGoat/Production-Grade-Double-Entry-Ledger-API" TargetMode="External"/><Relationship Id="rId15" Type="http://schemas.openxmlformats.org/officeDocument/2006/relationships/hyperlink" Target="https://github.com/MelvTheGoat/Credit-Risk-Decisioning" TargetMode="External"/><Relationship Id="rId16" Type="http://schemas.openxmlformats.org/officeDocument/2006/relationships/hyperlink" Target="https://credit-risk-decisioning-702657773047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