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Statistics and Forecasting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with a B.Sc. in Statistics who builds models that price and allocate under real costs. Built a demand forecasting platform that ships the cost-optimal quantile, an uplift study for targeting and discounts under a fixed budget, and deployed ML services with FastAPI and Docker.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Causal Inference (S/T/X-Learners, Causal Forests), Uplift Modeling, Time-Series Backtesting, Experiment Design, Statistical Inference, Power Analysis, CUPED, Qini and AUUC, Logistic Regression, WOE Scorecards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Demand Forecasting, Transaction Fraud Detection, Credit Risk Decisioning, Payment Reconciliation, Double-Entry Ledgers and Idempotency, Regulatory Compliance (CBN/NDPA),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LightGBM, Scikit-learn, Feature Engineering, PyTorch, XGBoost, Deep Learning, Sequence Models (GRU, TCN, Transformers), Model Calibration (Isotonic Regression, Temperature Scaling), SHAP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Prefect, FastAPI, Docker, DuckDB, PostgreSQL, Redis, GCP Cloud Run, AWS ECS Fargate, Railway,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Hybrid Search (BM25, Dense Embeddings, RRF), LLM Evaluation and Guardrails, Prompt Engineering, Citation Verification, Model Context Protocol (MCP), Hugging Face, ONNX Runtime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Modelled asymmetric business cost by penalising unmet demand at 3× idle supply and shipping the cost-optimal quantile rather than the median, cutting expected cost by 25% on an identical model and beating a seasonal-naive baseline by 32%.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Uplift Modelling for Campaign Targeting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scikit-learn, LightGBM, EconML, pytest, GitHub Actions</w:t>
      </w:r>
    </w:p>
    <w:p>
      <w:pPr>
        <w:pStyle w:val="ListBullet"/>
        <w:spacing w:after="30"/>
        <w:ind w:left="317"/>
      </w:pPr>
      <w:r>
        <w:rPr>
          <w:sz w:val="19"/>
        </w:rPr>
        <w:t>Ran a causal inference study on the Hillstrom randomised e-mail trial (64,000 customers) to decide which customers to contact under a fixed budget, delivered as a two-page decision memo for a marketing director.</w:t>
      </w:r>
    </w:p>
    <w:p>
      <w:pPr>
        <w:pStyle w:val="ListBullet"/>
        <w:spacing w:after="30"/>
        <w:ind w:left="317"/>
      </w:pPr>
      <w:r>
        <w:rPr>
          <w:sz w:val="19"/>
        </w:rPr>
        <w:t>Showed the campaign works (1.25% conversion against 0.57%) but that a non-randomised list overstates the effect by 7.5×, and that a response model mails five times as many customers the campaign harms as an uplift model does.</w:t>
      </w:r>
    </w:p>
    <w:p>
      <w:pPr>
        <w:pStyle w:val="ListBullet"/>
        <w:spacing w:after="30"/>
        <w:ind w:left="317"/>
      </w:pPr>
      <w:r>
        <w:rPr>
          <w:sz w:val="19"/>
        </w:rPr>
        <w:t>Evaluated with Qini curves, AUUC, decile tables and bootstrap intervals; uplift targeting was worth about $1,390 against about $3,170 for raising the budget, and a failed placebo test on the primary campaign was reported openly.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Uplift-Modelling-Decision" TargetMode="External"/><Relationship Id="rId13" Type="http://schemas.openxmlformats.org/officeDocument/2006/relationships/hyperlink" Target="https://github.com/MelvTheGoat/Fraud-Detection-With-Sequence-Models" TargetMode="External"/><Relationship Id="rId14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