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29DDD" w14:textId="77777777" w:rsidR="00CA4FDF" w:rsidRDefault="00CA4FDF" w:rsidP="00CA4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BO"/>
          <w14:ligatures w14:val="none"/>
        </w:rPr>
      </w:pPr>
      <w:r w:rsidRPr="00CA4F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BO"/>
          <w14:ligatures w14:val="none"/>
        </w:rPr>
        <w:t>Informe Técnico: Análisis de Ventas</w:t>
      </w:r>
    </w:p>
    <w:p w14:paraId="0B1F47BB" w14:textId="0F20DA2E" w:rsidR="00CA4FDF" w:rsidRDefault="00CA4FDF" w:rsidP="00CA4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s-BO"/>
          <w14:ligatures w14:val="none"/>
        </w:rPr>
        <w:t xml:space="preserve">Estudiante: Melvi Baltazar </w:t>
      </w:r>
    </w:p>
    <w:p w14:paraId="24BB3FDE" w14:textId="3DF26226" w:rsidR="00CA4FDF" w:rsidRDefault="00CA4FDF" w:rsidP="00CA4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s-BO"/>
          <w14:ligatures w14:val="none"/>
        </w:rPr>
        <w:t xml:space="preserve">Computación para Bioingenieria </w:t>
      </w:r>
    </w:p>
    <w:p w14:paraId="631094ED" w14:textId="09DBB858" w:rsidR="00CA4FDF" w:rsidRDefault="00CA4FDF" w:rsidP="00CA4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s-BO"/>
          <w14:ligatures w14:val="none"/>
        </w:rPr>
        <w:t>UPB   16-05-22025</w:t>
      </w:r>
    </w:p>
    <w:p w14:paraId="0ABD719F" w14:textId="77777777" w:rsidR="00CA4FDF" w:rsidRPr="00CA4FDF" w:rsidRDefault="00CA4FDF" w:rsidP="00CA4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s-BO"/>
          <w14:ligatures w14:val="none"/>
        </w:rPr>
      </w:pPr>
    </w:p>
    <w:p w14:paraId="72CF05B1" w14:textId="77777777" w:rsidR="00CA4FDF" w:rsidRPr="00CA4FDF" w:rsidRDefault="00CA4FDF" w:rsidP="00CA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 w:rsidRPr="00CA4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1. Introducción</w:t>
      </w:r>
    </w:p>
    <w:p w14:paraId="0B1A5269" w14:textId="77777777" w:rsidR="00CA4FDF" w:rsidRPr="00CA4FDF" w:rsidRDefault="00CA4FDF" w:rsidP="00CA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CA4FDF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Este informe presenta un análisis técnico de los datos de ventas mensuales de tres productos (A, B y C) durante el primer semestre del año. Los datos se obtuvieron de un archivo Excel y se analizan para identificar comportamientos de mercado, promedios y tendencias.</w:t>
      </w:r>
    </w:p>
    <w:p w14:paraId="0BD84A68" w14:textId="77777777" w:rsidR="00CA4FDF" w:rsidRPr="00CA4FDF" w:rsidRDefault="00CA4FDF" w:rsidP="00CA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 w:rsidRPr="00CA4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2. Datos de Ventas</w:t>
      </w:r>
    </w:p>
    <w:p w14:paraId="03AB3D78" w14:textId="77777777" w:rsidR="00CA4FDF" w:rsidRPr="00CA4FDF" w:rsidRDefault="00CA4FDF" w:rsidP="00CA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CA4FDF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La siguiente tabla muestra las ventas mensuales por producto en unidades monetarias:</w:t>
      </w:r>
    </w:p>
    <w:tbl>
      <w:tblPr>
        <w:tblStyle w:val="Tablaconcuadrcula"/>
        <w:tblW w:w="8489" w:type="dxa"/>
        <w:tblLook w:val="04A0" w:firstRow="1" w:lastRow="0" w:firstColumn="1" w:lastColumn="0" w:noHBand="0" w:noVBand="1"/>
      </w:tblPr>
      <w:tblGrid>
        <w:gridCol w:w="1548"/>
        <w:gridCol w:w="2277"/>
        <w:gridCol w:w="2231"/>
        <w:gridCol w:w="2433"/>
      </w:tblGrid>
      <w:tr w:rsidR="00CA4FDF" w:rsidRPr="00CA4FDF" w14:paraId="5884FB5F" w14:textId="77777777" w:rsidTr="00CA4FDF">
        <w:trPr>
          <w:trHeight w:val="390"/>
        </w:trPr>
        <w:tc>
          <w:tcPr>
            <w:tcW w:w="0" w:type="auto"/>
            <w:hideMark/>
          </w:tcPr>
          <w:p w14:paraId="5B61D539" w14:textId="77777777" w:rsidR="00CA4FDF" w:rsidRPr="00CA4FDF" w:rsidRDefault="00CA4FDF" w:rsidP="00CA4F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BO"/>
                <w14:ligatures w14:val="none"/>
              </w:rPr>
              <w:t>Mes</w:t>
            </w:r>
          </w:p>
        </w:tc>
        <w:tc>
          <w:tcPr>
            <w:tcW w:w="2277" w:type="dxa"/>
            <w:hideMark/>
          </w:tcPr>
          <w:p w14:paraId="533DC120" w14:textId="5571E93C" w:rsidR="00CA4FDF" w:rsidRPr="00CA4FDF" w:rsidRDefault="00CA4FDF" w:rsidP="00CA4F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BO"/>
                <w14:ligatures w14:val="none"/>
              </w:rPr>
              <w:t>Producto A</w:t>
            </w:r>
          </w:p>
        </w:tc>
        <w:tc>
          <w:tcPr>
            <w:tcW w:w="2231" w:type="dxa"/>
            <w:hideMark/>
          </w:tcPr>
          <w:p w14:paraId="0326C52A" w14:textId="77777777" w:rsidR="00CA4FDF" w:rsidRPr="00CA4FDF" w:rsidRDefault="00CA4FDF" w:rsidP="00CA4F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BO"/>
                <w14:ligatures w14:val="none"/>
              </w:rPr>
              <w:t>Producto B</w:t>
            </w:r>
          </w:p>
        </w:tc>
        <w:tc>
          <w:tcPr>
            <w:tcW w:w="2433" w:type="dxa"/>
            <w:hideMark/>
          </w:tcPr>
          <w:p w14:paraId="01669C40" w14:textId="77777777" w:rsidR="00CA4FDF" w:rsidRPr="00CA4FDF" w:rsidRDefault="00CA4FDF" w:rsidP="00CA4F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BO"/>
                <w14:ligatures w14:val="none"/>
              </w:rPr>
              <w:t>Producto C</w:t>
            </w:r>
          </w:p>
        </w:tc>
      </w:tr>
      <w:tr w:rsidR="00CA4FDF" w:rsidRPr="00CA4FDF" w14:paraId="7DCDD23D" w14:textId="77777777" w:rsidTr="00CA4FDF">
        <w:trPr>
          <w:trHeight w:val="700"/>
        </w:trPr>
        <w:tc>
          <w:tcPr>
            <w:tcW w:w="0" w:type="auto"/>
            <w:hideMark/>
          </w:tcPr>
          <w:p w14:paraId="00AC5E3A" w14:textId="77777777" w:rsidR="00CA4FDF" w:rsidRPr="00CA4FDF" w:rsidRDefault="00CA4FDF" w:rsidP="00CA4FD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Enero</w:t>
            </w:r>
          </w:p>
        </w:tc>
        <w:tc>
          <w:tcPr>
            <w:tcW w:w="2277" w:type="dxa"/>
            <w:hideMark/>
          </w:tcPr>
          <w:p w14:paraId="6FA77AF5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18,349</w:t>
            </w:r>
          </w:p>
        </w:tc>
        <w:tc>
          <w:tcPr>
            <w:tcW w:w="2231" w:type="dxa"/>
            <w:hideMark/>
          </w:tcPr>
          <w:p w14:paraId="07250970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12,813</w:t>
            </w:r>
          </w:p>
        </w:tc>
        <w:tc>
          <w:tcPr>
            <w:tcW w:w="2433" w:type="dxa"/>
            <w:hideMark/>
          </w:tcPr>
          <w:p w14:paraId="32E7B314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15,989</w:t>
            </w:r>
          </w:p>
        </w:tc>
      </w:tr>
      <w:tr w:rsidR="00CA4FDF" w:rsidRPr="00CA4FDF" w14:paraId="64483883" w14:textId="77777777" w:rsidTr="00CA4FDF">
        <w:trPr>
          <w:trHeight w:val="562"/>
        </w:trPr>
        <w:tc>
          <w:tcPr>
            <w:tcW w:w="0" w:type="auto"/>
            <w:hideMark/>
          </w:tcPr>
          <w:p w14:paraId="5C077568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Febrero</w:t>
            </w:r>
          </w:p>
        </w:tc>
        <w:tc>
          <w:tcPr>
            <w:tcW w:w="2277" w:type="dxa"/>
            <w:hideMark/>
          </w:tcPr>
          <w:p w14:paraId="252FEB61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5,235</w:t>
            </w:r>
          </w:p>
        </w:tc>
        <w:tc>
          <w:tcPr>
            <w:tcW w:w="2231" w:type="dxa"/>
            <w:hideMark/>
          </w:tcPr>
          <w:p w14:paraId="3A659E7D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7,895</w:t>
            </w:r>
          </w:p>
        </w:tc>
        <w:tc>
          <w:tcPr>
            <w:tcW w:w="2433" w:type="dxa"/>
            <w:hideMark/>
          </w:tcPr>
          <w:p w14:paraId="677DE85D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19,844</w:t>
            </w:r>
          </w:p>
        </w:tc>
      </w:tr>
      <w:tr w:rsidR="00CA4FDF" w:rsidRPr="00CA4FDF" w14:paraId="03176A94" w14:textId="77777777" w:rsidTr="00CA4FDF">
        <w:trPr>
          <w:trHeight w:val="719"/>
        </w:trPr>
        <w:tc>
          <w:tcPr>
            <w:tcW w:w="0" w:type="auto"/>
            <w:hideMark/>
          </w:tcPr>
          <w:p w14:paraId="41ACD5AD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Marzo</w:t>
            </w:r>
          </w:p>
        </w:tc>
        <w:tc>
          <w:tcPr>
            <w:tcW w:w="2277" w:type="dxa"/>
            <w:hideMark/>
          </w:tcPr>
          <w:p w14:paraId="1E8E30C1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17,172</w:t>
            </w:r>
          </w:p>
        </w:tc>
        <w:tc>
          <w:tcPr>
            <w:tcW w:w="2231" w:type="dxa"/>
            <w:hideMark/>
          </w:tcPr>
          <w:p w14:paraId="4FF12CF6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10,056</w:t>
            </w:r>
          </w:p>
        </w:tc>
        <w:tc>
          <w:tcPr>
            <w:tcW w:w="2433" w:type="dxa"/>
            <w:hideMark/>
          </w:tcPr>
          <w:p w14:paraId="7256B2D4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8,462</w:t>
            </w:r>
          </w:p>
        </w:tc>
      </w:tr>
      <w:tr w:rsidR="00CA4FDF" w:rsidRPr="00CA4FDF" w14:paraId="7C1E6B31" w14:textId="77777777" w:rsidTr="00CA4FDF">
        <w:trPr>
          <w:trHeight w:val="773"/>
        </w:trPr>
        <w:tc>
          <w:tcPr>
            <w:tcW w:w="0" w:type="auto"/>
            <w:hideMark/>
          </w:tcPr>
          <w:p w14:paraId="3460511C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Abril</w:t>
            </w:r>
          </w:p>
        </w:tc>
        <w:tc>
          <w:tcPr>
            <w:tcW w:w="2277" w:type="dxa"/>
            <w:hideMark/>
          </w:tcPr>
          <w:p w14:paraId="6E14727E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10,192</w:t>
            </w:r>
          </w:p>
        </w:tc>
        <w:tc>
          <w:tcPr>
            <w:tcW w:w="2231" w:type="dxa"/>
            <w:hideMark/>
          </w:tcPr>
          <w:p w14:paraId="21793C05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5,144</w:t>
            </w:r>
          </w:p>
        </w:tc>
        <w:tc>
          <w:tcPr>
            <w:tcW w:w="2433" w:type="dxa"/>
            <w:hideMark/>
          </w:tcPr>
          <w:p w14:paraId="43004330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14,394</w:t>
            </w:r>
          </w:p>
        </w:tc>
      </w:tr>
      <w:tr w:rsidR="00CA4FDF" w:rsidRPr="00CA4FDF" w14:paraId="13C07ECF" w14:textId="77777777" w:rsidTr="00CA4FDF">
        <w:trPr>
          <w:trHeight w:val="743"/>
        </w:trPr>
        <w:tc>
          <w:tcPr>
            <w:tcW w:w="0" w:type="auto"/>
            <w:hideMark/>
          </w:tcPr>
          <w:p w14:paraId="36032013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Mayo</w:t>
            </w:r>
          </w:p>
        </w:tc>
        <w:tc>
          <w:tcPr>
            <w:tcW w:w="2277" w:type="dxa"/>
            <w:hideMark/>
          </w:tcPr>
          <w:p w14:paraId="30F25AAF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5,905</w:t>
            </w:r>
          </w:p>
        </w:tc>
        <w:tc>
          <w:tcPr>
            <w:tcW w:w="2231" w:type="dxa"/>
            <w:hideMark/>
          </w:tcPr>
          <w:p w14:paraId="5C8DC6FC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9,225</w:t>
            </w:r>
          </w:p>
        </w:tc>
        <w:tc>
          <w:tcPr>
            <w:tcW w:w="2433" w:type="dxa"/>
            <w:hideMark/>
          </w:tcPr>
          <w:p w14:paraId="4617A277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10,396</w:t>
            </w:r>
          </w:p>
        </w:tc>
      </w:tr>
      <w:tr w:rsidR="00CA4FDF" w:rsidRPr="00CA4FDF" w14:paraId="08C6447D" w14:textId="77777777" w:rsidTr="00CA4FDF">
        <w:trPr>
          <w:trHeight w:val="362"/>
        </w:trPr>
        <w:tc>
          <w:tcPr>
            <w:tcW w:w="0" w:type="auto"/>
            <w:hideMark/>
          </w:tcPr>
          <w:p w14:paraId="5ACD7AED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Junio</w:t>
            </w:r>
          </w:p>
        </w:tc>
        <w:tc>
          <w:tcPr>
            <w:tcW w:w="2277" w:type="dxa"/>
            <w:hideMark/>
          </w:tcPr>
          <w:p w14:paraId="17F1CAFD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15,955</w:t>
            </w:r>
          </w:p>
        </w:tc>
        <w:tc>
          <w:tcPr>
            <w:tcW w:w="2231" w:type="dxa"/>
            <w:hideMark/>
          </w:tcPr>
          <w:p w14:paraId="32050D2D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12,751</w:t>
            </w:r>
          </w:p>
        </w:tc>
        <w:tc>
          <w:tcPr>
            <w:tcW w:w="2433" w:type="dxa"/>
            <w:hideMark/>
          </w:tcPr>
          <w:p w14:paraId="06D732D8" w14:textId="77777777" w:rsidR="00CA4FDF" w:rsidRPr="00CA4FDF" w:rsidRDefault="00CA4FDF" w:rsidP="00CA4F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</w:pPr>
            <w:r w:rsidRPr="00CA4F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BO"/>
                <w14:ligatures w14:val="none"/>
              </w:rPr>
              <w:t>10,374</w:t>
            </w:r>
          </w:p>
        </w:tc>
      </w:tr>
    </w:tbl>
    <w:p w14:paraId="393E35D8" w14:textId="77777777" w:rsidR="00CA4FDF" w:rsidRPr="00CA4FDF" w:rsidRDefault="00CA4FDF" w:rsidP="00CA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 w:rsidRPr="00CA4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3. Análisis de Resultados</w:t>
      </w:r>
    </w:p>
    <w:p w14:paraId="22A46F6B" w14:textId="77777777" w:rsidR="00CA4FDF" w:rsidRPr="00CA4FDF" w:rsidRDefault="00CA4FDF" w:rsidP="00CA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CA4FDF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A lo largo del semestre se observa lo siguiente:</w:t>
      </w:r>
    </w:p>
    <w:p w14:paraId="19532E72" w14:textId="77777777" w:rsidR="00CA4FDF" w:rsidRPr="00CA4FDF" w:rsidRDefault="00CA4FDF" w:rsidP="00CA4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CA4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Producto A</w:t>
      </w:r>
      <w:r w:rsidRPr="00CA4FDF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 tuvo su mayor venta en enero (18,349) y la menor en febrero (5,235).</w:t>
      </w:r>
    </w:p>
    <w:p w14:paraId="27298556" w14:textId="77777777" w:rsidR="00CA4FDF" w:rsidRPr="00CA4FDF" w:rsidRDefault="00CA4FDF" w:rsidP="00CA4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CA4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Producto B</w:t>
      </w:r>
      <w:r w:rsidRPr="00CA4FDF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 mantuvo un comportamiento estable, con un pico en enero (12,813) y una caída en abril (5,144).</w:t>
      </w:r>
    </w:p>
    <w:p w14:paraId="7EECF760" w14:textId="77777777" w:rsidR="00CA4FDF" w:rsidRPr="00CA4FDF" w:rsidRDefault="00CA4FDF" w:rsidP="00CA4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CA4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Producto C</w:t>
      </w:r>
      <w:r w:rsidRPr="00CA4FDF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 alcanzó su venta más alta en febrero (19,844) y la más baja en marzo (8,462).</w:t>
      </w:r>
    </w:p>
    <w:p w14:paraId="63DB147C" w14:textId="77777777" w:rsidR="00CA4FDF" w:rsidRPr="00CA4FDF" w:rsidRDefault="00CA4FDF" w:rsidP="00CA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CA4FDF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lastRenderedPageBreak/>
        <w:t>En términos generales, los productos muestran variaciones significativas entre meses, lo que puede estar relacionado con factores estacionales o campañas específicas.</w:t>
      </w:r>
    </w:p>
    <w:p w14:paraId="66ADC790" w14:textId="77777777" w:rsidR="00CA4FDF" w:rsidRPr="00CA4FDF" w:rsidRDefault="00CA4FDF" w:rsidP="00CA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 w:rsidRPr="00CA4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4. Conclusión</w:t>
      </w:r>
    </w:p>
    <w:p w14:paraId="33CDDC72" w14:textId="77777777" w:rsidR="00CA4FDF" w:rsidRPr="00CA4FDF" w:rsidRDefault="00CA4FDF" w:rsidP="00CA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CA4FDF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El análisis de ventas permite identificar tendencias útiles para planificar inventarios y campañas de marketing. Se recomienda dar seguimiento mensual al comportamiento de cada producto y considerar aplicar herramientas estadísticas para mejorar la toma de decisiones.</w:t>
      </w:r>
    </w:p>
    <w:p w14:paraId="6EF86646" w14:textId="77777777" w:rsidR="00CA4FDF" w:rsidRDefault="00CA4FDF"/>
    <w:sectPr w:rsidR="00CA4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90D65"/>
    <w:multiLevelType w:val="multilevel"/>
    <w:tmpl w:val="0936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1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DF"/>
    <w:rsid w:val="00CA4FDF"/>
    <w:rsid w:val="00DE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02FC"/>
  <w15:chartTrackingRefBased/>
  <w15:docId w15:val="{7EAB02EA-374C-4936-937B-6897848D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A4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B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A4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B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4FDF"/>
    <w:rPr>
      <w:rFonts w:ascii="Times New Roman" w:eastAsia="Times New Roman" w:hAnsi="Times New Roman" w:cs="Times New Roman"/>
      <w:b/>
      <w:bCs/>
      <w:kern w:val="0"/>
      <w:sz w:val="36"/>
      <w:szCs w:val="36"/>
      <w:lang w:eastAsia="es-B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A4FDF"/>
    <w:rPr>
      <w:rFonts w:ascii="Times New Roman" w:eastAsia="Times New Roman" w:hAnsi="Times New Roman" w:cs="Times New Roman"/>
      <w:b/>
      <w:bCs/>
      <w:kern w:val="0"/>
      <w:sz w:val="27"/>
      <w:szCs w:val="27"/>
      <w:lang w:eastAsia="es-BO"/>
      <w14:ligatures w14:val="none"/>
    </w:rPr>
  </w:style>
  <w:style w:type="character" w:customStyle="1" w:styleId="fadeinm1hgl8">
    <w:name w:val="_fadein_m1hgl_8"/>
    <w:basedOn w:val="Fuentedeprrafopredeter"/>
    <w:rsid w:val="00CA4FDF"/>
  </w:style>
  <w:style w:type="paragraph" w:styleId="NormalWeb">
    <w:name w:val="Normal (Web)"/>
    <w:basedOn w:val="Normal"/>
    <w:uiPriority w:val="99"/>
    <w:semiHidden/>
    <w:unhideWhenUsed/>
    <w:rsid w:val="00CA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table" w:styleId="Tablaconcuadrcula">
    <w:name w:val="Table Grid"/>
    <w:basedOn w:val="Tablanormal"/>
    <w:uiPriority w:val="39"/>
    <w:rsid w:val="00CA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 baltazar Lecoña</dc:creator>
  <cp:keywords/>
  <dc:description/>
  <cp:lastModifiedBy>melvi baltazar Lecoña</cp:lastModifiedBy>
  <cp:revision>2</cp:revision>
  <dcterms:created xsi:type="dcterms:W3CDTF">2025-05-18T21:29:00Z</dcterms:created>
  <dcterms:modified xsi:type="dcterms:W3CDTF">2025-05-18T21:29:00Z</dcterms:modified>
</cp:coreProperties>
</file>