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0E1CC" w14:textId="77777777" w:rsidR="00DC2DED" w:rsidRDefault="00000000">
      <w:pPr>
        <w:spacing w:after="120"/>
        <w:jc w:val="center"/>
      </w:pPr>
      <w:r>
        <w:rPr>
          <w:b/>
          <w:bCs/>
          <w:color w:val="1F3864"/>
          <w:sz w:val="28"/>
          <w:szCs w:val="28"/>
        </w:rPr>
        <w:t xml:space="preserve">Análisis Exploratorio de Datos: </w:t>
      </w:r>
      <w:proofErr w:type="spellStart"/>
      <w:r>
        <w:rPr>
          <w:b/>
          <w:bCs/>
          <w:color w:val="1F3864"/>
          <w:sz w:val="28"/>
          <w:szCs w:val="28"/>
        </w:rPr>
        <w:t>Dataset</w:t>
      </w:r>
      <w:proofErr w:type="spellEnd"/>
      <w:r>
        <w:rPr>
          <w:b/>
          <w:bCs/>
          <w:color w:val="1F3864"/>
          <w:sz w:val="28"/>
          <w:szCs w:val="28"/>
        </w:rPr>
        <w:t xml:space="preserve"> de Predicción del Mundial FIFA 2026</w:t>
      </w:r>
    </w:p>
    <w:p w14:paraId="42633371" w14:textId="77777777" w:rsidR="00DC2DED" w:rsidRDefault="00000000">
      <w:pPr>
        <w:spacing w:after="60"/>
        <w:jc w:val="center"/>
      </w:pPr>
      <w:r>
        <w:rPr>
          <w:i/>
          <w:iCs/>
          <w:color w:val="2F4F6F"/>
        </w:rPr>
        <w:t xml:space="preserve">Mahalaleel </w:t>
      </w:r>
      <w:proofErr w:type="gramStart"/>
      <w:r>
        <w:rPr>
          <w:i/>
          <w:iCs/>
          <w:color w:val="2F4F6F"/>
        </w:rPr>
        <w:t>Villalta  |</w:t>
      </w:r>
      <w:proofErr w:type="gramEnd"/>
      <w:r>
        <w:rPr>
          <w:i/>
          <w:iCs/>
          <w:color w:val="2F4F6F"/>
        </w:rPr>
        <w:t xml:space="preserve">  Curso de Machine </w:t>
      </w:r>
      <w:proofErr w:type="spellStart"/>
      <w:proofErr w:type="gramStart"/>
      <w:r>
        <w:rPr>
          <w:i/>
          <w:iCs/>
          <w:color w:val="2F4F6F"/>
        </w:rPr>
        <w:t>Learning</w:t>
      </w:r>
      <w:proofErr w:type="spellEnd"/>
      <w:r>
        <w:rPr>
          <w:i/>
          <w:iCs/>
          <w:color w:val="2F4F6F"/>
        </w:rPr>
        <w:t xml:space="preserve">  |</w:t>
      </w:r>
      <w:proofErr w:type="gramEnd"/>
      <w:r>
        <w:rPr>
          <w:i/>
          <w:iCs/>
          <w:color w:val="2F4F6F"/>
        </w:rPr>
        <w:t xml:space="preserve">  2026</w:t>
      </w:r>
    </w:p>
    <w:p w14:paraId="72B948D8" w14:textId="77777777" w:rsidR="00DC2DED" w:rsidRDefault="00000000">
      <w:pPr>
        <w:spacing w:after="200"/>
        <w:jc w:val="center"/>
      </w:pPr>
      <w:r>
        <w:rPr>
          <w:i/>
          <w:iCs/>
          <w:color w:val="1A73E8"/>
          <w:sz w:val="18"/>
          <w:szCs w:val="18"/>
        </w:rPr>
        <w:t>github.com/Melvillalta1/Predicciones-Mundial-2026-ML</w:t>
      </w:r>
    </w:p>
    <w:tbl>
      <w:tblPr>
        <w:tblpPr w:leftFromText="141" w:rightFromText="141" w:vertAnchor="text" w:horzAnchor="page" w:tblpX="6285" w:tblpY="489"/>
        <w:tblW w:w="59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1701"/>
        <w:gridCol w:w="2835"/>
      </w:tblGrid>
      <w:tr w:rsidR="006C030A" w14:paraId="7766D22D" w14:textId="77777777" w:rsidTr="006C030A">
        <w:tblPrEx>
          <w:tblCellMar>
            <w:top w:w="0" w:type="dxa"/>
            <w:bottom w:w="0" w:type="dxa"/>
          </w:tblCellMar>
        </w:tblPrEx>
        <w:tc>
          <w:tcPr>
            <w:tcW w:w="141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699D61" w14:textId="77777777" w:rsidR="006C030A" w:rsidRDefault="006C030A" w:rsidP="006C030A">
            <w:pPr>
              <w:jc w:val="center"/>
            </w:pPr>
            <w:r>
              <w:rPr>
                <w:b/>
                <w:bCs/>
                <w:color w:val="FFFFFF"/>
                <w:sz w:val="18"/>
                <w:szCs w:val="18"/>
              </w:rPr>
              <w:t>Característica</w:t>
            </w:r>
          </w:p>
        </w:tc>
        <w:tc>
          <w:tcPr>
            <w:tcW w:w="170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C7864E" w14:textId="77777777" w:rsidR="006C030A" w:rsidRDefault="006C030A" w:rsidP="006C030A">
            <w:pPr>
              <w:jc w:val="center"/>
            </w:pPr>
            <w:r>
              <w:rPr>
                <w:b/>
                <w:bCs/>
                <w:color w:val="FFFFFF"/>
                <w:sz w:val="18"/>
                <w:szCs w:val="18"/>
              </w:rPr>
              <w:t>Valor</w:t>
            </w:r>
          </w:p>
        </w:tc>
        <w:tc>
          <w:tcPr>
            <w:tcW w:w="283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781FC0" w14:textId="77777777" w:rsidR="006C030A" w:rsidRDefault="006C030A" w:rsidP="006C030A">
            <w:pPr>
              <w:jc w:val="center"/>
            </w:pPr>
            <w:r>
              <w:rPr>
                <w:b/>
                <w:bCs/>
                <w:color w:val="FFFFFF"/>
                <w:sz w:val="18"/>
                <w:szCs w:val="18"/>
              </w:rPr>
              <w:t>Observación</w:t>
            </w:r>
          </w:p>
        </w:tc>
      </w:tr>
      <w:tr w:rsidR="006C030A" w14:paraId="098C390F" w14:textId="77777777" w:rsidTr="006C030A">
        <w:tblPrEx>
          <w:tblCellMar>
            <w:top w:w="0" w:type="dxa"/>
            <w:bottom w:w="0" w:type="dxa"/>
          </w:tblCellMar>
        </w:tblPrEx>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9A08DA" w14:textId="77777777" w:rsidR="006C030A" w:rsidRDefault="006C030A" w:rsidP="006C030A">
            <w:r>
              <w:rPr>
                <w:b/>
                <w:bCs/>
                <w:color w:val="000000"/>
                <w:sz w:val="18"/>
                <w:szCs w:val="18"/>
              </w:rPr>
              <w:t>Partidos totales</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525A74" w14:textId="77777777" w:rsidR="006C030A" w:rsidRDefault="006C030A" w:rsidP="006C030A">
            <w:pPr>
              <w:jc w:val="center"/>
            </w:pPr>
            <w:r>
              <w:rPr>
                <w:color w:val="000000"/>
                <w:sz w:val="18"/>
                <w:szCs w:val="18"/>
              </w:rPr>
              <w:t>37,169</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64E404" w14:textId="77777777" w:rsidR="006C030A" w:rsidRDefault="006C030A" w:rsidP="006C030A">
            <w:r>
              <w:rPr>
                <w:color w:val="000000"/>
                <w:sz w:val="18"/>
                <w:szCs w:val="18"/>
              </w:rPr>
              <w:t>Desde 1980</w:t>
            </w:r>
          </w:p>
        </w:tc>
      </w:tr>
      <w:tr w:rsidR="006C030A" w14:paraId="0809D7D3" w14:textId="77777777" w:rsidTr="006C030A">
        <w:tblPrEx>
          <w:tblCellMar>
            <w:top w:w="0" w:type="dxa"/>
            <w:bottom w:w="0" w:type="dxa"/>
          </w:tblCellMar>
        </w:tblPrEx>
        <w:tc>
          <w:tcPr>
            <w:tcW w:w="1418"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6375B27D" w14:textId="77777777" w:rsidR="006C030A" w:rsidRDefault="006C030A" w:rsidP="006C030A">
            <w:r>
              <w:rPr>
                <w:b/>
                <w:bCs/>
                <w:color w:val="000000"/>
                <w:sz w:val="18"/>
                <w:szCs w:val="18"/>
              </w:rPr>
              <w:t>Período</w:t>
            </w:r>
          </w:p>
        </w:tc>
        <w:tc>
          <w:tcPr>
            <w:tcW w:w="1701"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354D4E89" w14:textId="77777777" w:rsidR="006C030A" w:rsidRDefault="006C030A" w:rsidP="006C030A">
            <w:pPr>
              <w:jc w:val="center"/>
            </w:pPr>
            <w:r>
              <w:rPr>
                <w:color w:val="000000"/>
                <w:sz w:val="18"/>
                <w:szCs w:val="18"/>
              </w:rPr>
              <w:t>1980–2026</w:t>
            </w:r>
          </w:p>
        </w:tc>
        <w:tc>
          <w:tcPr>
            <w:tcW w:w="2835"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71CAB189" w14:textId="77777777" w:rsidR="006C030A" w:rsidRDefault="006C030A" w:rsidP="006C030A">
            <w:r>
              <w:rPr>
                <w:color w:val="000000"/>
                <w:sz w:val="18"/>
                <w:szCs w:val="18"/>
              </w:rPr>
              <w:t>46 años de historia</w:t>
            </w:r>
          </w:p>
        </w:tc>
      </w:tr>
      <w:tr w:rsidR="006C030A" w14:paraId="17D7A536" w14:textId="77777777" w:rsidTr="006C030A">
        <w:tblPrEx>
          <w:tblCellMar>
            <w:top w:w="0" w:type="dxa"/>
            <w:bottom w:w="0" w:type="dxa"/>
          </w:tblCellMar>
        </w:tblPrEx>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A96149" w14:textId="77777777" w:rsidR="006C030A" w:rsidRDefault="006C030A" w:rsidP="006C030A">
            <w:r>
              <w:rPr>
                <w:b/>
                <w:bCs/>
                <w:color w:val="000000"/>
                <w:sz w:val="18"/>
                <w:szCs w:val="18"/>
              </w:rPr>
              <w:t>Equipos únicos</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063119" w14:textId="77777777" w:rsidR="006C030A" w:rsidRDefault="006C030A" w:rsidP="006C030A">
            <w:pPr>
              <w:jc w:val="center"/>
            </w:pPr>
            <w:r>
              <w:rPr>
                <w:color w:val="000000"/>
                <w:sz w:val="18"/>
                <w:szCs w:val="18"/>
              </w:rPr>
              <w:t>327</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963E0F" w14:textId="77777777" w:rsidR="006C030A" w:rsidRDefault="006C030A" w:rsidP="006C030A">
            <w:r>
              <w:rPr>
                <w:color w:val="000000"/>
                <w:sz w:val="18"/>
                <w:szCs w:val="18"/>
              </w:rPr>
              <w:t>Incluye selecciones extintas</w:t>
            </w:r>
          </w:p>
        </w:tc>
      </w:tr>
      <w:tr w:rsidR="006C030A" w14:paraId="62569643" w14:textId="77777777" w:rsidTr="006C030A">
        <w:tblPrEx>
          <w:tblCellMar>
            <w:top w:w="0" w:type="dxa"/>
            <w:bottom w:w="0" w:type="dxa"/>
          </w:tblCellMar>
        </w:tblPrEx>
        <w:tc>
          <w:tcPr>
            <w:tcW w:w="1418"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46E9C156" w14:textId="77777777" w:rsidR="006C030A" w:rsidRDefault="006C030A" w:rsidP="006C030A">
            <w:r>
              <w:rPr>
                <w:b/>
                <w:bCs/>
                <w:color w:val="000000"/>
                <w:sz w:val="18"/>
                <w:szCs w:val="18"/>
              </w:rPr>
              <w:t>Torneos distintos</w:t>
            </w:r>
          </w:p>
        </w:tc>
        <w:tc>
          <w:tcPr>
            <w:tcW w:w="1701"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10AAED57" w14:textId="77777777" w:rsidR="006C030A" w:rsidRDefault="006C030A" w:rsidP="006C030A">
            <w:pPr>
              <w:jc w:val="center"/>
            </w:pPr>
            <w:r>
              <w:rPr>
                <w:color w:val="000000"/>
                <w:sz w:val="18"/>
                <w:szCs w:val="18"/>
              </w:rPr>
              <w:t>159</w:t>
            </w:r>
          </w:p>
        </w:tc>
        <w:tc>
          <w:tcPr>
            <w:tcW w:w="2835"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085FE811" w14:textId="77777777" w:rsidR="006C030A" w:rsidRDefault="006C030A" w:rsidP="006C030A">
            <w:r>
              <w:rPr>
                <w:color w:val="000000"/>
                <w:sz w:val="18"/>
                <w:szCs w:val="18"/>
              </w:rPr>
              <w:t>Mundiales, clasificatorias, copas</w:t>
            </w:r>
          </w:p>
        </w:tc>
      </w:tr>
      <w:tr w:rsidR="006C030A" w14:paraId="36714BFE" w14:textId="77777777" w:rsidTr="006C030A">
        <w:tblPrEx>
          <w:tblCellMar>
            <w:top w:w="0" w:type="dxa"/>
            <w:bottom w:w="0" w:type="dxa"/>
          </w:tblCellMar>
        </w:tblPrEx>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CF6A1F" w14:textId="77777777" w:rsidR="006C030A" w:rsidRDefault="006C030A" w:rsidP="006C030A">
            <w:proofErr w:type="spellStart"/>
            <w:r>
              <w:rPr>
                <w:b/>
                <w:bCs/>
                <w:color w:val="000000"/>
                <w:sz w:val="18"/>
                <w:szCs w:val="18"/>
              </w:rPr>
              <w:t>Features</w:t>
            </w:r>
            <w:proofErr w:type="spellEnd"/>
            <w:r>
              <w:rPr>
                <w:b/>
                <w:bCs/>
                <w:color w:val="000000"/>
                <w:sz w:val="18"/>
                <w:szCs w:val="18"/>
              </w:rPr>
              <w:t xml:space="preserve"> construidas</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2702AC" w14:textId="77777777" w:rsidR="006C030A" w:rsidRDefault="006C030A" w:rsidP="006C030A">
            <w:pPr>
              <w:jc w:val="center"/>
            </w:pPr>
            <w:r>
              <w:rPr>
                <w:color w:val="000000"/>
                <w:sz w:val="18"/>
                <w:szCs w:val="18"/>
              </w:rPr>
              <w:t>28</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9E7168" w14:textId="77777777" w:rsidR="006C030A" w:rsidRDefault="006C030A" w:rsidP="006C030A">
            <w:r>
              <w:rPr>
                <w:color w:val="000000"/>
                <w:sz w:val="18"/>
                <w:szCs w:val="18"/>
              </w:rPr>
              <w:t xml:space="preserve">ELO, FIFA, </w:t>
            </w:r>
            <w:proofErr w:type="spellStart"/>
            <w:r>
              <w:rPr>
                <w:color w:val="000000"/>
                <w:sz w:val="18"/>
                <w:szCs w:val="18"/>
              </w:rPr>
              <w:t>rolling</w:t>
            </w:r>
            <w:proofErr w:type="spellEnd"/>
            <w:r>
              <w:rPr>
                <w:color w:val="000000"/>
                <w:sz w:val="18"/>
                <w:szCs w:val="18"/>
              </w:rPr>
              <w:t>, contexto</w:t>
            </w:r>
          </w:p>
        </w:tc>
      </w:tr>
      <w:tr w:rsidR="006C030A" w14:paraId="21D2504D" w14:textId="77777777" w:rsidTr="006C030A">
        <w:tblPrEx>
          <w:tblCellMar>
            <w:top w:w="0" w:type="dxa"/>
            <w:bottom w:w="0" w:type="dxa"/>
          </w:tblCellMar>
        </w:tblPrEx>
        <w:tc>
          <w:tcPr>
            <w:tcW w:w="1418"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337D255E" w14:textId="77777777" w:rsidR="006C030A" w:rsidRDefault="006C030A" w:rsidP="006C030A">
            <w:r>
              <w:rPr>
                <w:b/>
                <w:bCs/>
                <w:color w:val="000000"/>
                <w:sz w:val="18"/>
                <w:szCs w:val="18"/>
              </w:rPr>
              <w:t>Partidos de Mundiales</w:t>
            </w:r>
          </w:p>
        </w:tc>
        <w:tc>
          <w:tcPr>
            <w:tcW w:w="1701"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630F6123" w14:textId="77777777" w:rsidR="006C030A" w:rsidRDefault="006C030A" w:rsidP="006C030A">
            <w:pPr>
              <w:jc w:val="center"/>
            </w:pPr>
            <w:r>
              <w:rPr>
                <w:color w:val="000000"/>
                <w:sz w:val="18"/>
                <w:szCs w:val="18"/>
              </w:rPr>
              <w:t>656</w:t>
            </w:r>
          </w:p>
        </w:tc>
        <w:tc>
          <w:tcPr>
            <w:tcW w:w="2835" w:type="dxa"/>
            <w:tcBorders>
              <w:top w:val="single" w:sz="1" w:space="0" w:color="CCCCCC"/>
              <w:left w:val="single" w:sz="1" w:space="0" w:color="CCCCCC"/>
              <w:bottom w:val="single" w:sz="1" w:space="0" w:color="CCCCCC"/>
              <w:right w:val="single" w:sz="1" w:space="0" w:color="CCCCCC"/>
            </w:tcBorders>
            <w:shd w:val="clear" w:color="auto" w:fill="F2F6FA"/>
            <w:tcMar>
              <w:top w:w="60" w:type="dxa"/>
              <w:left w:w="120" w:type="dxa"/>
              <w:bottom w:w="60" w:type="dxa"/>
              <w:right w:w="120" w:type="dxa"/>
            </w:tcMar>
          </w:tcPr>
          <w:p w14:paraId="600E5B52" w14:textId="77777777" w:rsidR="006C030A" w:rsidRDefault="006C030A" w:rsidP="006C030A">
            <w:proofErr w:type="spellStart"/>
            <w:r>
              <w:rPr>
                <w:color w:val="000000"/>
                <w:sz w:val="18"/>
                <w:szCs w:val="18"/>
              </w:rPr>
              <w:t>is_wc</w:t>
            </w:r>
            <w:proofErr w:type="spellEnd"/>
            <w:r>
              <w:rPr>
                <w:color w:val="000000"/>
                <w:sz w:val="18"/>
                <w:szCs w:val="18"/>
              </w:rPr>
              <w:t xml:space="preserve"> = 1</w:t>
            </w:r>
          </w:p>
        </w:tc>
      </w:tr>
      <w:tr w:rsidR="006C030A" w14:paraId="4CBB9143" w14:textId="77777777" w:rsidTr="006C030A">
        <w:tblPrEx>
          <w:tblCellMar>
            <w:top w:w="0" w:type="dxa"/>
            <w:bottom w:w="0" w:type="dxa"/>
          </w:tblCellMar>
        </w:tblPrEx>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5F68F3" w14:textId="77777777" w:rsidR="006C030A" w:rsidRDefault="006C030A" w:rsidP="006C030A">
            <w:r>
              <w:rPr>
                <w:b/>
                <w:bCs/>
                <w:color w:val="000000"/>
                <w:sz w:val="18"/>
                <w:szCs w:val="18"/>
              </w:rPr>
              <w:t>Cancha neutral</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49F6FD" w14:textId="77777777" w:rsidR="006C030A" w:rsidRDefault="006C030A" w:rsidP="006C030A">
            <w:pPr>
              <w:jc w:val="center"/>
            </w:pPr>
            <w:r>
              <w:rPr>
                <w:color w:val="000000"/>
                <w:sz w:val="18"/>
                <w:szCs w:val="18"/>
              </w:rPr>
              <w:t>10,337 (27.8%)</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95110B" w14:textId="77777777" w:rsidR="006C030A" w:rsidRDefault="006C030A" w:rsidP="006C030A">
            <w:r>
              <w:rPr>
                <w:color w:val="000000"/>
                <w:sz w:val="18"/>
                <w:szCs w:val="18"/>
              </w:rPr>
              <w:t>Relevante para WC2026</w:t>
            </w:r>
          </w:p>
        </w:tc>
      </w:tr>
    </w:tbl>
    <w:p w14:paraId="492C7BA8" w14:textId="77777777" w:rsidR="00DC2DED" w:rsidRDefault="00000000">
      <w:pPr>
        <w:pBdr>
          <w:bottom w:val="single" w:sz="6" w:space="4" w:color="1F3864"/>
        </w:pBdr>
        <w:spacing w:before="240" w:after="120"/>
      </w:pPr>
      <w:r>
        <w:rPr>
          <w:b/>
          <w:bCs/>
          <w:color w:val="1F3864"/>
          <w:sz w:val="22"/>
          <w:szCs w:val="22"/>
        </w:rPr>
        <w:t>ABSTRACT</w:t>
      </w:r>
    </w:p>
    <w:p w14:paraId="4A90B92B" w14:textId="77777777" w:rsidR="00DC2DED" w:rsidRDefault="00000000">
      <w:pPr>
        <w:spacing w:after="100" w:line="276" w:lineRule="auto"/>
        <w:jc w:val="both"/>
      </w:pPr>
      <w:r>
        <w:t xml:space="preserve">Este documento presenta el Análisis Exploratorio de Datos (EDA) realizado sobre el </w:t>
      </w:r>
      <w:proofErr w:type="spellStart"/>
      <w:r>
        <w:t>dataset</w:t>
      </w:r>
      <w:proofErr w:type="spellEnd"/>
      <w:r>
        <w:t xml:space="preserve"> construido para predecir el campeón del Mundial FIFA 2026. El </w:t>
      </w:r>
      <w:proofErr w:type="spellStart"/>
      <w:r>
        <w:t>dataset</w:t>
      </w:r>
      <w:proofErr w:type="spellEnd"/>
      <w:r>
        <w:t xml:space="preserve"> integra 37,169 partidos internacionales desde 1980, con 28 </w:t>
      </w:r>
      <w:proofErr w:type="spellStart"/>
      <w:r>
        <w:t>features</w:t>
      </w:r>
      <w:proofErr w:type="spellEnd"/>
      <w:r>
        <w:t xml:space="preserve"> derivadas de cinco fuentes complementarias. El análisis examina la distribución del </w:t>
      </w:r>
      <w:proofErr w:type="gramStart"/>
      <w:r>
        <w:t>target</w:t>
      </w:r>
      <w:proofErr w:type="gramEnd"/>
      <w:r>
        <w:t xml:space="preserve">, la ventaja de localía, el poder predictivo del ELO rating, las correlaciones entre variables, el análisis de goles y el efecto del </w:t>
      </w:r>
      <w:proofErr w:type="spellStart"/>
      <w:r>
        <w:t>decay</w:t>
      </w:r>
      <w:proofErr w:type="spellEnd"/>
      <w:r>
        <w:t xml:space="preserve"> temporal sobre los datos históricos. Los hallazgos del EDA guían directamente las decisiones de modelado y justifican la selección de </w:t>
      </w:r>
      <w:proofErr w:type="spellStart"/>
      <w:r>
        <w:t>features</w:t>
      </w:r>
      <w:proofErr w:type="spellEnd"/>
      <w:r>
        <w:t xml:space="preserve"> para el modelo </w:t>
      </w:r>
      <w:proofErr w:type="spellStart"/>
      <w:r>
        <w:t>XGBoost</w:t>
      </w:r>
      <w:proofErr w:type="spellEnd"/>
      <w:r>
        <w:t>.</w:t>
      </w:r>
    </w:p>
    <w:p w14:paraId="2D1C77FF" w14:textId="77777777" w:rsidR="00DC2DED" w:rsidRDefault="00000000">
      <w:pPr>
        <w:pBdr>
          <w:bottom w:val="single" w:sz="6" w:space="4" w:color="1F3864"/>
        </w:pBdr>
        <w:spacing w:before="240" w:after="120"/>
      </w:pPr>
      <w:r>
        <w:rPr>
          <w:b/>
          <w:bCs/>
          <w:color w:val="1F3864"/>
          <w:sz w:val="22"/>
          <w:szCs w:val="22"/>
        </w:rPr>
        <w:t>I. INTRODUCCIÓN</w:t>
      </w:r>
    </w:p>
    <w:p w14:paraId="38342F27" w14:textId="77777777" w:rsidR="00DC2DED" w:rsidRDefault="00000000">
      <w:pPr>
        <w:spacing w:after="100" w:line="276" w:lineRule="auto"/>
        <w:jc w:val="both"/>
      </w:pPr>
      <w:r>
        <w:t xml:space="preserve">El EDA es el paso previo fundamental antes de construir cualquier modelo de Machine </w:t>
      </w:r>
      <w:proofErr w:type="spellStart"/>
      <w:r>
        <w:t>Learning</w:t>
      </w:r>
      <w:proofErr w:type="spellEnd"/>
      <w:r>
        <w:t xml:space="preserve">. Su objetivo es entender la estructura de los datos, identificar patrones, detectar anomalías y formular hipótesis sobre las relaciones entre variables. En el contexto de predicción deportiva, el EDA responde preguntas clave: ¿existe ventaja de jugar en casa? ¿El ELO predice bien los resultados? ¿Qué </w:t>
      </w:r>
      <w:proofErr w:type="spellStart"/>
      <w:r>
        <w:t>features</w:t>
      </w:r>
      <w:proofErr w:type="spellEnd"/>
      <w:r>
        <w:t xml:space="preserve"> tienen mayor poder predictivo?</w:t>
      </w:r>
    </w:p>
    <w:p w14:paraId="4501C9E1" w14:textId="77777777" w:rsidR="00DC2DED" w:rsidRDefault="00000000">
      <w:pPr>
        <w:spacing w:after="100" w:line="276" w:lineRule="auto"/>
        <w:jc w:val="both"/>
      </w:pPr>
      <w:r>
        <w:t xml:space="preserve">El proceso seguido fue: (1) construcción del </w:t>
      </w:r>
      <w:proofErr w:type="spellStart"/>
      <w:r>
        <w:t>dataset</w:t>
      </w:r>
      <w:proofErr w:type="spellEnd"/>
      <w:r>
        <w:t xml:space="preserve"> desde múltiples fuentes, (2) análisis de calidad y valores nulos, (3) exploración de la variable </w:t>
      </w:r>
      <w:proofErr w:type="gramStart"/>
      <w:r>
        <w:t>target</w:t>
      </w:r>
      <w:proofErr w:type="gramEnd"/>
      <w:r>
        <w:t xml:space="preserve"> y ventaja de localía, (4) análisis del ELO como predictor principal, (5) análisis de correlaciones y diagramas de bigotes, (6) análisis de producción de goles, (7) performance histórica en Mundiales, y (8) validación del </w:t>
      </w:r>
      <w:proofErr w:type="spellStart"/>
      <w:r>
        <w:t>decay</w:t>
      </w:r>
      <w:proofErr w:type="spellEnd"/>
      <w:r>
        <w:t xml:space="preserve"> temporal. Cada hallazgo se traduce directamente en una decisión de modelado.</w:t>
      </w:r>
    </w:p>
    <w:p w14:paraId="70AA86FD" w14:textId="77777777" w:rsidR="00DC2DED" w:rsidRDefault="00000000">
      <w:pPr>
        <w:pBdr>
          <w:bottom w:val="single" w:sz="6" w:space="4" w:color="1F3864"/>
        </w:pBdr>
        <w:spacing w:before="240" w:after="120"/>
      </w:pPr>
      <w:r>
        <w:rPr>
          <w:b/>
          <w:bCs/>
          <w:color w:val="1F3864"/>
          <w:sz w:val="22"/>
          <w:szCs w:val="22"/>
        </w:rPr>
        <w:t>II. DESCRIPCIÓN DEL DATASET</w:t>
      </w:r>
    </w:p>
    <w:p w14:paraId="59099856" w14:textId="77777777" w:rsidR="00DC2DED" w:rsidRDefault="00000000">
      <w:pPr>
        <w:spacing w:before="160" w:after="60"/>
      </w:pPr>
      <w:r>
        <w:rPr>
          <w:b/>
          <w:bCs/>
          <w:i/>
          <w:iCs/>
          <w:color w:val="2F4F6F"/>
        </w:rPr>
        <w:t>A. Fuentes integradas</w:t>
      </w:r>
    </w:p>
    <w:p w14:paraId="602601F8" w14:textId="77777777" w:rsidR="00DC2DED" w:rsidRDefault="00000000">
      <w:pPr>
        <w:spacing w:after="100" w:line="276" w:lineRule="auto"/>
        <w:jc w:val="both"/>
      </w:pPr>
      <w:r>
        <w:t xml:space="preserve">El </w:t>
      </w:r>
      <w:proofErr w:type="spellStart"/>
      <w:r>
        <w:t>dataset</w:t>
      </w:r>
      <w:proofErr w:type="spellEnd"/>
      <w:r>
        <w:t xml:space="preserve"> se construyó combinando cinco fuentes. La base de partidos proviene de martj42/</w:t>
      </w:r>
      <w:proofErr w:type="spellStart"/>
      <w:r>
        <w:t>international_results</w:t>
      </w:r>
      <w:proofErr w:type="spellEnd"/>
      <w:r>
        <w:t xml:space="preserve"> (GitHub), con 49,287 registros desde 1872, filtrados a partir de 1980. El ranking FIFA histórico se obtuvo de tres </w:t>
      </w:r>
      <w:proofErr w:type="spellStart"/>
      <w:r>
        <w:t>snapshots</w:t>
      </w:r>
      <w:proofErr w:type="spellEnd"/>
      <w:r>
        <w:t xml:space="preserve"> (julio 2023, abril 2024, junio 2024). Las </w:t>
      </w:r>
      <w:r>
        <w:t xml:space="preserve">estadísticas de goleadores individuales provienen de goalscorers.csv. Los </w:t>
      </w:r>
      <w:proofErr w:type="spellStart"/>
      <w:r>
        <w:t>stages</w:t>
      </w:r>
      <w:proofErr w:type="spellEnd"/>
      <w:r>
        <w:t xml:space="preserve"> de partidos mundialistas se extrajeron de world_cup_last_50_years.csv, y la estandarización de nombres históricos se realizó con former_names.csv.</w:t>
      </w:r>
    </w:p>
    <w:p w14:paraId="2D26620F" w14:textId="77777777" w:rsidR="00DC2DED" w:rsidRDefault="00000000">
      <w:pPr>
        <w:spacing w:before="160" w:after="60"/>
      </w:pPr>
      <w:r>
        <w:rPr>
          <w:b/>
          <w:bCs/>
          <w:i/>
          <w:iCs/>
          <w:color w:val="2F4F6F"/>
        </w:rPr>
        <w:t>B. Características generales</w:t>
      </w:r>
    </w:p>
    <w:p w14:paraId="348CA08F" w14:textId="77777777" w:rsidR="00DC2DED" w:rsidRDefault="00DC2DED">
      <w:pPr>
        <w:spacing w:after="80"/>
      </w:pPr>
    </w:p>
    <w:p w14:paraId="11F84FE4" w14:textId="77777777" w:rsidR="00DC2DED" w:rsidRDefault="00000000">
      <w:pPr>
        <w:spacing w:after="80"/>
        <w:jc w:val="center"/>
      </w:pPr>
      <w:r>
        <w:rPr>
          <w:b/>
          <w:bCs/>
          <w:color w:val="1F3864"/>
          <w:sz w:val="18"/>
          <w:szCs w:val="18"/>
        </w:rPr>
        <w:t xml:space="preserve">TABLA I — Resumen general del </w:t>
      </w:r>
      <w:proofErr w:type="spellStart"/>
      <w:r>
        <w:rPr>
          <w:b/>
          <w:bCs/>
          <w:color w:val="1F3864"/>
          <w:sz w:val="18"/>
          <w:szCs w:val="18"/>
        </w:rPr>
        <w:t>dataset</w:t>
      </w:r>
      <w:proofErr w:type="spellEnd"/>
    </w:p>
    <w:p w14:paraId="58A14237" w14:textId="77777777" w:rsidR="00DC2DED" w:rsidRDefault="00DC2DED">
      <w:pPr>
        <w:spacing w:after="80"/>
      </w:pPr>
    </w:p>
    <w:p w14:paraId="3D76224E" w14:textId="77777777" w:rsidR="00DC2DED" w:rsidRDefault="00000000">
      <w:pPr>
        <w:spacing w:after="100" w:line="276" w:lineRule="auto"/>
        <w:jc w:val="both"/>
      </w:pPr>
      <w:r>
        <w:t>Un dato relevante es que el 27.8% de los partidos se jugaron en cancha neutral. Esto es crítico porque el Mundial 2026 completo se disputará en canchas neutrales, por lo que el modelo debe capturar correctamente el comportamiento sin ventaja de localía.</w:t>
      </w:r>
    </w:p>
    <w:p w14:paraId="780EDA82" w14:textId="77777777" w:rsidR="00DC2DED" w:rsidRDefault="00000000">
      <w:pPr>
        <w:pBdr>
          <w:bottom w:val="single" w:sz="6" w:space="4" w:color="1F3864"/>
        </w:pBdr>
        <w:spacing w:before="240" w:after="120"/>
      </w:pPr>
      <w:r>
        <w:rPr>
          <w:b/>
          <w:bCs/>
          <w:color w:val="1F3864"/>
          <w:sz w:val="22"/>
          <w:szCs w:val="22"/>
        </w:rPr>
        <w:t>III. DISTRIBUCIÓN DEL TARGET Y VENTAJA DE LOCALÍA</w:t>
      </w:r>
    </w:p>
    <w:p w14:paraId="6CE194B3" w14:textId="77777777" w:rsidR="00DC2DED" w:rsidRDefault="00000000">
      <w:pPr>
        <w:spacing w:after="100" w:line="276" w:lineRule="auto"/>
        <w:jc w:val="both"/>
      </w:pPr>
      <w:r>
        <w:t xml:space="preserve">La Fig. 1 muestra tres análisis complementarios: la distribución global del </w:t>
      </w:r>
      <w:proofErr w:type="gramStart"/>
      <w:r>
        <w:t>target</w:t>
      </w:r>
      <w:proofErr w:type="gramEnd"/>
      <w:r>
        <w:t xml:space="preserve">, el impacto del tipo de cancha y la tendencia histórica anual del </w:t>
      </w:r>
      <w:proofErr w:type="spellStart"/>
      <w:r>
        <w:t>win</w:t>
      </w:r>
      <w:proofErr w:type="spellEnd"/>
      <w:r>
        <w:t xml:space="preserve"> </w:t>
      </w:r>
      <w:proofErr w:type="spellStart"/>
      <w:r>
        <w:t>rate</w:t>
      </w:r>
      <w:proofErr w:type="spellEnd"/>
      <w:r>
        <w:t xml:space="preserve"> local.</w:t>
      </w:r>
    </w:p>
    <w:p w14:paraId="25129163" w14:textId="77777777" w:rsidR="00DC2DED" w:rsidRDefault="00DC2DED">
      <w:pPr>
        <w:spacing w:after="80"/>
      </w:pPr>
    </w:p>
    <w:p w14:paraId="54604E44" w14:textId="77777777" w:rsidR="00DC2DED" w:rsidRDefault="00000000">
      <w:pPr>
        <w:spacing w:before="80" w:after="60"/>
        <w:jc w:val="center"/>
      </w:pPr>
      <w:r>
        <w:rPr>
          <w:noProof/>
        </w:rPr>
        <w:drawing>
          <wp:inline distT="0" distB="0" distL="0" distR="0" wp14:anchorId="2AB6535B" wp14:editId="5D0D5864">
            <wp:extent cx="4508500" cy="1567571"/>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60956" cy="1585810"/>
                    </a:xfrm>
                    <a:prstGeom prst="rect">
                      <a:avLst/>
                    </a:prstGeom>
                  </pic:spPr>
                </pic:pic>
              </a:graphicData>
            </a:graphic>
          </wp:inline>
        </w:drawing>
      </w:r>
    </w:p>
    <w:p w14:paraId="0DA7759A" w14:textId="77777777" w:rsidR="00DC2DED" w:rsidRDefault="00000000">
      <w:pPr>
        <w:spacing w:before="60" w:after="160"/>
        <w:jc w:val="center"/>
      </w:pPr>
      <w:r>
        <w:rPr>
          <w:i/>
          <w:iCs/>
          <w:color w:val="2F4F6F"/>
          <w:sz w:val="18"/>
          <w:szCs w:val="18"/>
        </w:rPr>
        <w:t xml:space="preserve">Fig. 1. Distribución del </w:t>
      </w:r>
      <w:proofErr w:type="gramStart"/>
      <w:r>
        <w:rPr>
          <w:i/>
          <w:iCs/>
          <w:color w:val="2F4F6F"/>
          <w:sz w:val="18"/>
          <w:szCs w:val="18"/>
        </w:rPr>
        <w:t>target</w:t>
      </w:r>
      <w:proofErr w:type="gramEnd"/>
      <w:r>
        <w:rPr>
          <w:i/>
          <w:iCs/>
          <w:color w:val="2F4F6F"/>
          <w:sz w:val="18"/>
          <w:szCs w:val="18"/>
        </w:rPr>
        <w:t xml:space="preserve"> (izq.), impacto de localía (centro) y tendencia anual del </w:t>
      </w:r>
      <w:proofErr w:type="spellStart"/>
      <w:r>
        <w:rPr>
          <w:i/>
          <w:iCs/>
          <w:color w:val="2F4F6F"/>
          <w:sz w:val="18"/>
          <w:szCs w:val="18"/>
        </w:rPr>
        <w:t>win</w:t>
      </w:r>
      <w:proofErr w:type="spellEnd"/>
      <w:r>
        <w:rPr>
          <w:i/>
          <w:iCs/>
          <w:color w:val="2F4F6F"/>
          <w:sz w:val="18"/>
          <w:szCs w:val="18"/>
        </w:rPr>
        <w:t xml:space="preserve"> </w:t>
      </w:r>
      <w:proofErr w:type="spellStart"/>
      <w:r>
        <w:rPr>
          <w:i/>
          <w:iCs/>
          <w:color w:val="2F4F6F"/>
          <w:sz w:val="18"/>
          <w:szCs w:val="18"/>
        </w:rPr>
        <w:t>rate</w:t>
      </w:r>
      <w:proofErr w:type="spellEnd"/>
      <w:r>
        <w:rPr>
          <w:i/>
          <w:iCs/>
          <w:color w:val="2F4F6F"/>
          <w:sz w:val="18"/>
          <w:szCs w:val="18"/>
        </w:rPr>
        <w:t xml:space="preserve"> local (</w:t>
      </w:r>
      <w:proofErr w:type="spellStart"/>
      <w:r>
        <w:rPr>
          <w:i/>
          <w:iCs/>
          <w:color w:val="2F4F6F"/>
          <w:sz w:val="18"/>
          <w:szCs w:val="18"/>
        </w:rPr>
        <w:t>der</w:t>
      </w:r>
      <w:proofErr w:type="spellEnd"/>
      <w:r>
        <w:rPr>
          <w:i/>
          <w:iCs/>
          <w:color w:val="2F4F6F"/>
          <w:sz w:val="18"/>
          <w:szCs w:val="18"/>
        </w:rPr>
        <w:t>.).</w:t>
      </w:r>
    </w:p>
    <w:p w14:paraId="6C5741D3" w14:textId="77777777" w:rsidR="00DC2DED" w:rsidRDefault="00000000">
      <w:pPr>
        <w:spacing w:after="100" w:line="276" w:lineRule="auto"/>
        <w:jc w:val="both"/>
      </w:pPr>
      <w:r>
        <w:t xml:space="preserve">El local gana el 48.3% de los partidos, empata el 23.9% y pierde el 27.8%. Este desbalance moderado no requiere </w:t>
      </w:r>
      <w:r>
        <w:lastRenderedPageBreak/>
        <w:t xml:space="preserve">técnicas de rebalanceo, pero sí justifica el uso de Log-Loss y Brier Score como métricas principales. La ventaja de localía es de 7.9 puntos porcentuales (50.5% en casa vs 42.6% en cancha neutral), confirmando que </w:t>
      </w:r>
      <w:proofErr w:type="spellStart"/>
      <w:r>
        <w:t>is_neutral</w:t>
      </w:r>
      <w:proofErr w:type="spellEnd"/>
      <w:r>
        <w:t xml:space="preserve"> es una </w:t>
      </w:r>
      <w:proofErr w:type="spellStart"/>
      <w:r>
        <w:t>feature</w:t>
      </w:r>
      <w:proofErr w:type="spellEnd"/>
      <w:r>
        <w:t xml:space="preserve"> relevante para el modelo.</w:t>
      </w:r>
    </w:p>
    <w:p w14:paraId="6A853449" w14:textId="77777777" w:rsidR="00DC2DED" w:rsidRDefault="00000000">
      <w:pPr>
        <w:pBdr>
          <w:bottom w:val="single" w:sz="6" w:space="4" w:color="1F3864"/>
        </w:pBdr>
        <w:spacing w:before="240" w:after="120"/>
      </w:pPr>
      <w:r>
        <w:rPr>
          <w:b/>
          <w:bCs/>
          <w:color w:val="1F3864"/>
          <w:sz w:val="22"/>
          <w:szCs w:val="22"/>
        </w:rPr>
        <w:t>IV. ELO RATING COMO PREDICTOR</w:t>
      </w:r>
    </w:p>
    <w:p w14:paraId="1333BF72" w14:textId="77777777" w:rsidR="00DC2DED" w:rsidRDefault="00000000">
      <w:pPr>
        <w:spacing w:after="100" w:line="276" w:lineRule="auto"/>
        <w:jc w:val="both"/>
      </w:pPr>
      <w:r>
        <w:t>El ELO rating se calculó desde cero con factor K variable según la importancia del torneo. La Fig. 2 muestra su relación con el resultado y el ranking ELO de los clasificados al WC2026.</w:t>
      </w:r>
    </w:p>
    <w:p w14:paraId="4344339C" w14:textId="77777777" w:rsidR="00DC2DED" w:rsidRDefault="00DC2DED">
      <w:pPr>
        <w:spacing w:after="80"/>
      </w:pPr>
    </w:p>
    <w:p w14:paraId="2A7CAE2E" w14:textId="77777777" w:rsidR="00DC2DED" w:rsidRDefault="00000000">
      <w:pPr>
        <w:spacing w:before="80" w:after="60"/>
        <w:jc w:val="center"/>
      </w:pPr>
      <w:r>
        <w:rPr>
          <w:noProof/>
        </w:rPr>
        <w:drawing>
          <wp:inline distT="0" distB="0" distL="0" distR="0" wp14:anchorId="71711992" wp14:editId="1AEEF7E4">
            <wp:extent cx="6191250" cy="2305050"/>
            <wp:effectExtent l="0" t="0" r="0" b="0"/>
            <wp:docPr id="1732573042" name="Imagen 173257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2305050"/>
                    </a:xfrm>
                    <a:prstGeom prst="rect">
                      <a:avLst/>
                    </a:prstGeom>
                  </pic:spPr>
                </pic:pic>
              </a:graphicData>
            </a:graphic>
          </wp:inline>
        </w:drawing>
      </w:r>
    </w:p>
    <w:p w14:paraId="0C32F1A2" w14:textId="77777777" w:rsidR="00DC2DED" w:rsidRDefault="00000000">
      <w:pPr>
        <w:spacing w:before="60" w:after="160"/>
        <w:jc w:val="center"/>
      </w:pPr>
      <w:r>
        <w:rPr>
          <w:i/>
          <w:iCs/>
          <w:color w:val="2F4F6F"/>
          <w:sz w:val="18"/>
          <w:szCs w:val="18"/>
        </w:rPr>
        <w:t xml:space="preserve">Fig. 2. Win </w:t>
      </w:r>
      <w:proofErr w:type="spellStart"/>
      <w:r>
        <w:rPr>
          <w:i/>
          <w:iCs/>
          <w:color w:val="2F4F6F"/>
          <w:sz w:val="18"/>
          <w:szCs w:val="18"/>
        </w:rPr>
        <w:t>rate</w:t>
      </w:r>
      <w:proofErr w:type="spellEnd"/>
      <w:r>
        <w:rPr>
          <w:i/>
          <w:iCs/>
          <w:color w:val="2F4F6F"/>
          <w:sz w:val="18"/>
          <w:szCs w:val="18"/>
        </w:rPr>
        <w:t xml:space="preserve"> local por diferencia de ELO (izq.) y top 20 ELO entre clasificados WC2026 (</w:t>
      </w:r>
      <w:proofErr w:type="spellStart"/>
      <w:r>
        <w:rPr>
          <w:i/>
          <w:iCs/>
          <w:color w:val="2F4F6F"/>
          <w:sz w:val="18"/>
          <w:szCs w:val="18"/>
        </w:rPr>
        <w:t>der</w:t>
      </w:r>
      <w:proofErr w:type="spellEnd"/>
      <w:r>
        <w:rPr>
          <w:i/>
          <w:iCs/>
          <w:color w:val="2F4F6F"/>
          <w:sz w:val="18"/>
          <w:szCs w:val="18"/>
        </w:rPr>
        <w:t>.).</w:t>
      </w:r>
    </w:p>
    <w:p w14:paraId="196C7BF1" w14:textId="77777777" w:rsidR="00DC2DED" w:rsidRDefault="00000000">
      <w:pPr>
        <w:spacing w:after="100" w:line="276" w:lineRule="auto"/>
        <w:jc w:val="both"/>
      </w:pPr>
      <w:r>
        <w:t>La relación entre ELO y resultado es monotónica y fuerte: cuando la diferencia supera 300 puntos, el favorito gana el 89.5% de las veces. Con diferencias menores a 30 puntos el resultado es prácticamente impredecible (46.4%). España (2,063) y Argentina (2,057) lideran el ranking entre los 48 clasificados. Notablemente, Colombia (1,928), Ecuador (1,923) y Marruecos (1,901) superan a Alemania (1,898) en el ELO calculado.</w:t>
      </w:r>
    </w:p>
    <w:p w14:paraId="71DB86D8" w14:textId="77777777" w:rsidR="00DC2DED" w:rsidRDefault="00000000">
      <w:pPr>
        <w:pBdr>
          <w:bottom w:val="single" w:sz="6" w:space="4" w:color="1F3864"/>
        </w:pBdr>
        <w:spacing w:before="240" w:after="120"/>
      </w:pPr>
      <w:r>
        <w:rPr>
          <w:b/>
          <w:bCs/>
          <w:color w:val="1F3864"/>
          <w:sz w:val="22"/>
          <w:szCs w:val="22"/>
        </w:rPr>
        <w:t>V. ANÁLISIS DE CORRELACIONES</w:t>
      </w:r>
    </w:p>
    <w:p w14:paraId="0DD0F273" w14:textId="77777777" w:rsidR="00DC2DED" w:rsidRDefault="00000000">
      <w:pPr>
        <w:spacing w:before="160" w:after="60"/>
      </w:pPr>
      <w:r>
        <w:rPr>
          <w:b/>
          <w:bCs/>
          <w:i/>
          <w:iCs/>
          <w:color w:val="2F4F6F"/>
        </w:rPr>
        <w:t xml:space="preserve">A. Correlación individual con el </w:t>
      </w:r>
      <w:proofErr w:type="gramStart"/>
      <w:r>
        <w:rPr>
          <w:b/>
          <w:bCs/>
          <w:i/>
          <w:iCs/>
          <w:color w:val="2F4F6F"/>
        </w:rPr>
        <w:t>target</w:t>
      </w:r>
      <w:proofErr w:type="gramEnd"/>
    </w:p>
    <w:p w14:paraId="23F1E17F" w14:textId="77777777" w:rsidR="00DC2DED" w:rsidRDefault="00000000">
      <w:pPr>
        <w:spacing w:after="100" w:line="276" w:lineRule="auto"/>
        <w:jc w:val="both"/>
      </w:pPr>
      <w:r>
        <w:t xml:space="preserve">La Fig. 3 muestra la correlación de Pearson de cada </w:t>
      </w:r>
      <w:proofErr w:type="spellStart"/>
      <w:r>
        <w:t>feature</w:t>
      </w:r>
      <w:proofErr w:type="spellEnd"/>
      <w:r>
        <w:t xml:space="preserve"> con la variable objetivo. Las </w:t>
      </w:r>
      <w:proofErr w:type="spellStart"/>
      <w:r>
        <w:t>features</w:t>
      </w:r>
      <w:proofErr w:type="spellEnd"/>
      <w:r>
        <w:t xml:space="preserve"> diferenciales dominan: </w:t>
      </w:r>
      <w:proofErr w:type="spellStart"/>
      <w:r>
        <w:t>elo_diff</w:t>
      </w:r>
      <w:proofErr w:type="spellEnd"/>
      <w:r>
        <w:t xml:space="preserve"> (0.465), </w:t>
      </w:r>
      <w:proofErr w:type="spellStart"/>
      <w:r>
        <w:t>fifa_rank_diff</w:t>
      </w:r>
      <w:proofErr w:type="spellEnd"/>
      <w:r>
        <w:t xml:space="preserve"> (0.398) y </w:t>
      </w:r>
      <w:proofErr w:type="spellStart"/>
      <w:r>
        <w:t>win_rate_diff</w:t>
      </w:r>
      <w:proofErr w:type="spellEnd"/>
      <w:r>
        <w:t xml:space="preserve"> (0.362) son los tres predictores más fuertes.</w:t>
      </w:r>
    </w:p>
    <w:p w14:paraId="11649610" w14:textId="77777777" w:rsidR="00DC2DED" w:rsidRDefault="00DC2DED">
      <w:pPr>
        <w:spacing w:after="80"/>
      </w:pPr>
    </w:p>
    <w:p w14:paraId="5ADD9DE1" w14:textId="77777777" w:rsidR="00DC2DED" w:rsidRDefault="00000000">
      <w:pPr>
        <w:spacing w:before="80" w:after="60"/>
        <w:jc w:val="center"/>
      </w:pPr>
      <w:r>
        <w:rPr>
          <w:noProof/>
        </w:rPr>
        <w:drawing>
          <wp:inline distT="0" distB="0" distL="0" distR="0" wp14:anchorId="5CA8B76C" wp14:editId="34C5A2A1">
            <wp:extent cx="3441700" cy="2330695"/>
            <wp:effectExtent l="0" t="0" r="6350" b="0"/>
            <wp:docPr id="410402092" name="Imagen 410402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72906" cy="2351827"/>
                    </a:xfrm>
                    <a:prstGeom prst="rect">
                      <a:avLst/>
                    </a:prstGeom>
                  </pic:spPr>
                </pic:pic>
              </a:graphicData>
            </a:graphic>
          </wp:inline>
        </w:drawing>
      </w:r>
    </w:p>
    <w:p w14:paraId="02FEB82E" w14:textId="77777777" w:rsidR="00DC2DED" w:rsidRDefault="00000000">
      <w:pPr>
        <w:spacing w:before="60" w:after="160"/>
        <w:jc w:val="center"/>
      </w:pPr>
      <w:r>
        <w:rPr>
          <w:i/>
          <w:iCs/>
          <w:color w:val="2F4F6F"/>
          <w:sz w:val="18"/>
          <w:szCs w:val="18"/>
        </w:rPr>
        <w:t xml:space="preserve">Fig. 3. Correlación de Pearson de cada </w:t>
      </w:r>
      <w:proofErr w:type="spellStart"/>
      <w:r>
        <w:rPr>
          <w:i/>
          <w:iCs/>
          <w:color w:val="2F4F6F"/>
          <w:sz w:val="18"/>
          <w:szCs w:val="18"/>
        </w:rPr>
        <w:t>feature</w:t>
      </w:r>
      <w:proofErr w:type="spellEnd"/>
      <w:r>
        <w:rPr>
          <w:i/>
          <w:iCs/>
          <w:color w:val="2F4F6F"/>
          <w:sz w:val="18"/>
          <w:szCs w:val="18"/>
        </w:rPr>
        <w:t xml:space="preserve"> con el resultado del partido.</w:t>
      </w:r>
    </w:p>
    <w:p w14:paraId="00EC5E5C" w14:textId="77777777" w:rsidR="00DC2DED" w:rsidRDefault="00000000">
      <w:pPr>
        <w:spacing w:before="160" w:after="60"/>
      </w:pPr>
      <w:r>
        <w:rPr>
          <w:b/>
          <w:bCs/>
          <w:i/>
          <w:iCs/>
          <w:color w:val="2F4F6F"/>
        </w:rPr>
        <w:t>B. Mapa de calor — matriz completa</w:t>
      </w:r>
    </w:p>
    <w:p w14:paraId="06EC91E5" w14:textId="77777777" w:rsidR="00DC2DED" w:rsidRDefault="00000000">
      <w:pPr>
        <w:spacing w:after="100" w:line="276" w:lineRule="auto"/>
        <w:jc w:val="both"/>
      </w:pPr>
      <w:r>
        <w:t xml:space="preserve">La Fig. 4 muestra la matriz de correlación completa entre todas las </w:t>
      </w:r>
      <w:proofErr w:type="spellStart"/>
      <w:r>
        <w:t>features</w:t>
      </w:r>
      <w:proofErr w:type="spellEnd"/>
      <w:r>
        <w:t xml:space="preserve">. La última fila (RESULT) concentra las correlaciones más relevantes para el modelo. Se observa alta multicolinealidad entre ELO local y ELO visitante (0.41), y entre WR local y GC local (-0.73), lo que justifica incluir las diferencias como </w:t>
      </w:r>
      <w:proofErr w:type="spellStart"/>
      <w:r>
        <w:t>features</w:t>
      </w:r>
      <w:proofErr w:type="spellEnd"/>
      <w:r>
        <w:t xml:space="preserve"> en lugar de solo los valores absolutos.</w:t>
      </w:r>
    </w:p>
    <w:p w14:paraId="3CA5B795" w14:textId="77777777" w:rsidR="00DC2DED" w:rsidRDefault="00DC2DED">
      <w:pPr>
        <w:spacing w:after="80"/>
      </w:pPr>
    </w:p>
    <w:p w14:paraId="3C809B17" w14:textId="77777777" w:rsidR="00DC2DED" w:rsidRDefault="00000000">
      <w:pPr>
        <w:spacing w:before="80" w:after="60"/>
        <w:jc w:val="center"/>
      </w:pPr>
      <w:r>
        <w:rPr>
          <w:noProof/>
        </w:rPr>
        <w:drawing>
          <wp:inline distT="0" distB="0" distL="0" distR="0" wp14:anchorId="2127C92A" wp14:editId="4370B9D9">
            <wp:extent cx="4578373" cy="3965575"/>
            <wp:effectExtent l="0" t="0" r="0" b="0"/>
            <wp:docPr id="539903693" name="Imagen 539903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89260" cy="3975005"/>
                    </a:xfrm>
                    <a:prstGeom prst="rect">
                      <a:avLst/>
                    </a:prstGeom>
                  </pic:spPr>
                </pic:pic>
              </a:graphicData>
            </a:graphic>
          </wp:inline>
        </w:drawing>
      </w:r>
    </w:p>
    <w:p w14:paraId="2CCA83BE" w14:textId="77777777" w:rsidR="00DC2DED" w:rsidRDefault="00000000">
      <w:pPr>
        <w:spacing w:before="60" w:after="160"/>
        <w:jc w:val="center"/>
      </w:pPr>
      <w:r>
        <w:rPr>
          <w:i/>
          <w:iCs/>
          <w:color w:val="2F4F6F"/>
          <w:sz w:val="18"/>
          <w:szCs w:val="18"/>
        </w:rPr>
        <w:lastRenderedPageBreak/>
        <w:t>Fig. 4. Mapa de calor de la matriz de correlaciones. Última fila: correlaciones con RESULT. La diagonal principal siempre es 1.0 (autocorrelación).</w:t>
      </w:r>
    </w:p>
    <w:p w14:paraId="702CE750" w14:textId="77777777" w:rsidR="00DC2DED" w:rsidRDefault="00000000">
      <w:pPr>
        <w:spacing w:before="160" w:after="60"/>
      </w:pPr>
      <w:r>
        <w:rPr>
          <w:b/>
          <w:bCs/>
          <w:i/>
          <w:iCs/>
          <w:color w:val="2F4F6F"/>
        </w:rPr>
        <w:t>C. Diagramas de bigotes por resultado</w:t>
      </w:r>
    </w:p>
    <w:p w14:paraId="05B2D95C" w14:textId="77777777" w:rsidR="00DC2DED" w:rsidRDefault="00000000">
      <w:pPr>
        <w:spacing w:after="100" w:line="276" w:lineRule="auto"/>
        <w:jc w:val="both"/>
      </w:pPr>
      <w:r>
        <w:t xml:space="preserve">Los diagramas de bigotes de la Fig. 5 muestran la distribución de las seis </w:t>
      </w:r>
      <w:proofErr w:type="spellStart"/>
      <w:r>
        <w:t>features</w:t>
      </w:r>
      <w:proofErr w:type="spellEnd"/>
      <w:r>
        <w:t xml:space="preserve"> más importantes separadas por resultado (pierde/empate/gana). Las muescas en las cajas indican que las diferencias de medianas son estadísticamente significativas para </w:t>
      </w:r>
      <w:proofErr w:type="spellStart"/>
      <w:r>
        <w:t>elo_diff</w:t>
      </w:r>
      <w:proofErr w:type="spellEnd"/>
      <w:r>
        <w:t xml:space="preserve"> y </w:t>
      </w:r>
      <w:proofErr w:type="spellStart"/>
      <w:r>
        <w:t>win_rate_diff</w:t>
      </w:r>
      <w:proofErr w:type="spellEnd"/>
      <w:r>
        <w:t>.</w:t>
      </w:r>
    </w:p>
    <w:p w14:paraId="3949441D" w14:textId="77777777" w:rsidR="00DC2DED" w:rsidRDefault="00DC2DED">
      <w:pPr>
        <w:spacing w:after="80"/>
      </w:pPr>
    </w:p>
    <w:p w14:paraId="4AC6CE06" w14:textId="77777777" w:rsidR="00DC2DED" w:rsidRDefault="00000000">
      <w:pPr>
        <w:spacing w:before="80" w:after="60"/>
        <w:jc w:val="center"/>
      </w:pPr>
      <w:r>
        <w:rPr>
          <w:noProof/>
        </w:rPr>
        <w:drawing>
          <wp:inline distT="0" distB="0" distL="0" distR="0" wp14:anchorId="24FA0BB7" wp14:editId="5D099280">
            <wp:extent cx="3170344" cy="2141202"/>
            <wp:effectExtent l="0" t="0" r="0" b="0"/>
            <wp:docPr id="885782137" name="Imagen 885782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98615" cy="2160296"/>
                    </a:xfrm>
                    <a:prstGeom prst="rect">
                      <a:avLst/>
                    </a:prstGeom>
                  </pic:spPr>
                </pic:pic>
              </a:graphicData>
            </a:graphic>
          </wp:inline>
        </w:drawing>
      </w:r>
    </w:p>
    <w:p w14:paraId="47DA8C94" w14:textId="77777777" w:rsidR="00DC2DED" w:rsidRDefault="00000000">
      <w:pPr>
        <w:spacing w:before="60" w:after="160"/>
        <w:jc w:val="center"/>
      </w:pPr>
      <w:r>
        <w:rPr>
          <w:i/>
          <w:iCs/>
          <w:color w:val="2F4F6F"/>
          <w:sz w:val="18"/>
          <w:szCs w:val="18"/>
        </w:rPr>
        <w:t xml:space="preserve">Fig. 5. Diagramas de bigotes (percentiles 5-95) de las seis </w:t>
      </w:r>
      <w:proofErr w:type="spellStart"/>
      <w:r>
        <w:rPr>
          <w:i/>
          <w:iCs/>
          <w:color w:val="2F4F6F"/>
          <w:sz w:val="18"/>
          <w:szCs w:val="18"/>
        </w:rPr>
        <w:t>features</w:t>
      </w:r>
      <w:proofErr w:type="spellEnd"/>
      <w:r>
        <w:rPr>
          <w:i/>
          <w:iCs/>
          <w:color w:val="2F4F6F"/>
          <w:sz w:val="18"/>
          <w:szCs w:val="18"/>
        </w:rPr>
        <w:t xml:space="preserve"> principales por resultado. El diamante blanco indica la media; la línea amarilla la mediana.</w:t>
      </w:r>
    </w:p>
    <w:p w14:paraId="264FDFC9" w14:textId="77777777" w:rsidR="00DC2DED" w:rsidRDefault="00000000">
      <w:pPr>
        <w:spacing w:after="100" w:line="276" w:lineRule="auto"/>
        <w:jc w:val="both"/>
      </w:pPr>
      <w:r>
        <w:t xml:space="preserve">El </w:t>
      </w:r>
      <w:proofErr w:type="spellStart"/>
      <w:r>
        <w:t>boxplot</w:t>
      </w:r>
      <w:proofErr w:type="spellEnd"/>
      <w:r>
        <w:t xml:space="preserve"> de Diferencia ELO es el más revelador: la mediana de 'Pierde' está en -94 puntos, la de 'Empate' en -11 y la de 'Gana' en +81. Esta separación clara confirma el poder predictivo del ELO. Los </w:t>
      </w:r>
      <w:proofErr w:type="spellStart"/>
      <w:r>
        <w:t>boxplots</w:t>
      </w:r>
      <w:proofErr w:type="spellEnd"/>
      <w:r>
        <w:t xml:space="preserve"> de Goles recibidos (GC local) muestran una tendencia inversa esperada: equipos que ganan reciben menos goles.</w:t>
      </w:r>
    </w:p>
    <w:p w14:paraId="6148E993" w14:textId="77777777" w:rsidR="00DC2DED" w:rsidRDefault="00000000">
      <w:pPr>
        <w:pBdr>
          <w:bottom w:val="single" w:sz="6" w:space="4" w:color="1F3864"/>
        </w:pBdr>
        <w:spacing w:before="240" w:after="120"/>
      </w:pPr>
      <w:r>
        <w:rPr>
          <w:b/>
          <w:bCs/>
          <w:color w:val="1F3864"/>
          <w:sz w:val="22"/>
          <w:szCs w:val="22"/>
        </w:rPr>
        <w:t>VI. ANÁLISIS DE PRODUCCIÓN DE GOLES</w:t>
      </w:r>
    </w:p>
    <w:p w14:paraId="45359826" w14:textId="77777777" w:rsidR="00DC2DED" w:rsidRDefault="00000000">
      <w:pPr>
        <w:spacing w:after="100" w:line="276" w:lineRule="auto"/>
        <w:jc w:val="both"/>
      </w:pPr>
      <w:r>
        <w:t>La Fig. 6 analiza la distribución de goles por partido, el promedio según tipo de torneo y la tendencia histórica.</w:t>
      </w:r>
    </w:p>
    <w:p w14:paraId="341ACB4A" w14:textId="77777777" w:rsidR="00DC2DED" w:rsidRDefault="00DC2DED">
      <w:pPr>
        <w:spacing w:after="80"/>
      </w:pPr>
    </w:p>
    <w:p w14:paraId="02F5956D" w14:textId="77777777" w:rsidR="00DC2DED" w:rsidRDefault="00000000">
      <w:pPr>
        <w:spacing w:before="80" w:after="60"/>
        <w:jc w:val="center"/>
      </w:pPr>
      <w:r>
        <w:rPr>
          <w:noProof/>
        </w:rPr>
        <w:drawing>
          <wp:inline distT="0" distB="0" distL="0" distR="0" wp14:anchorId="48F51EF4" wp14:editId="6F1720CE">
            <wp:extent cx="3297581" cy="1136397"/>
            <wp:effectExtent l="0" t="0" r="0" b="6985"/>
            <wp:docPr id="103662673" name="Imagen 103662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358858" cy="1157514"/>
                    </a:xfrm>
                    <a:prstGeom prst="rect">
                      <a:avLst/>
                    </a:prstGeom>
                  </pic:spPr>
                </pic:pic>
              </a:graphicData>
            </a:graphic>
          </wp:inline>
        </w:drawing>
      </w:r>
    </w:p>
    <w:p w14:paraId="22722B46" w14:textId="77777777" w:rsidR="00DC2DED" w:rsidRDefault="00000000">
      <w:pPr>
        <w:spacing w:before="60" w:after="160"/>
        <w:jc w:val="center"/>
      </w:pPr>
      <w:r>
        <w:rPr>
          <w:i/>
          <w:iCs/>
          <w:color w:val="2F4F6F"/>
          <w:sz w:val="18"/>
          <w:szCs w:val="18"/>
        </w:rPr>
        <w:t>Fig. 6. Distribución de goles por partido (izq.), goles promedio por tipo de torneo (centro) y tendencia histórica 1990-2026 (</w:t>
      </w:r>
      <w:proofErr w:type="spellStart"/>
      <w:r>
        <w:rPr>
          <w:i/>
          <w:iCs/>
          <w:color w:val="2F4F6F"/>
          <w:sz w:val="18"/>
          <w:szCs w:val="18"/>
        </w:rPr>
        <w:t>der</w:t>
      </w:r>
      <w:proofErr w:type="spellEnd"/>
      <w:r>
        <w:rPr>
          <w:i/>
          <w:iCs/>
          <w:color w:val="2F4F6F"/>
          <w:sz w:val="18"/>
          <w:szCs w:val="18"/>
        </w:rPr>
        <w:t>.).</w:t>
      </w:r>
    </w:p>
    <w:p w14:paraId="10F2EA83" w14:textId="77777777" w:rsidR="00DC2DED" w:rsidRDefault="00000000">
      <w:pPr>
        <w:spacing w:after="100" w:line="276" w:lineRule="auto"/>
        <w:jc w:val="both"/>
      </w:pPr>
      <w:r>
        <w:t xml:space="preserve">El promedio general es 2.73 goles/partido con moda en 2. Las clasificatorias producen más goles (2.87) que los </w:t>
      </w:r>
      <w:r>
        <w:t>Mundiales (2.55), reflejando la mayor cautela táctica en torneos de eliminación directa. El 51.4% de los partidos termina con 2 o menos goles, confirmando el carácter de bajo puntaje del fútbol moderno y la importancia de modelar el empate como clase separada.</w:t>
      </w:r>
    </w:p>
    <w:p w14:paraId="521B520B" w14:textId="77777777" w:rsidR="00DC2DED" w:rsidRDefault="00000000">
      <w:pPr>
        <w:pBdr>
          <w:bottom w:val="single" w:sz="6" w:space="4" w:color="1F3864"/>
        </w:pBdr>
        <w:spacing w:before="240" w:after="120"/>
      </w:pPr>
      <w:r>
        <w:rPr>
          <w:b/>
          <w:bCs/>
          <w:color w:val="1F3864"/>
          <w:sz w:val="22"/>
          <w:szCs w:val="22"/>
        </w:rPr>
        <w:t>VII. PERFORMANCE HISTÓRICA EN MUNDIALES</w:t>
      </w:r>
    </w:p>
    <w:p w14:paraId="7D276182" w14:textId="77777777" w:rsidR="00DC2DED" w:rsidRDefault="00000000">
      <w:pPr>
        <w:spacing w:after="100" w:line="276" w:lineRule="auto"/>
        <w:jc w:val="both"/>
      </w:pPr>
      <w:r>
        <w:t xml:space="preserve">La Fig. 7 muestra el </w:t>
      </w:r>
      <w:proofErr w:type="spellStart"/>
      <w:r>
        <w:t>win</w:t>
      </w:r>
      <w:proofErr w:type="spellEnd"/>
      <w:r>
        <w:t xml:space="preserve"> </w:t>
      </w:r>
      <w:proofErr w:type="spellStart"/>
      <w:r>
        <w:t>rate</w:t>
      </w:r>
      <w:proofErr w:type="spellEnd"/>
      <w:r>
        <w:t xml:space="preserve"> histórico de los principales clasificados al WC2026 con al menos 8 partidos mundialistas disputados.</w:t>
      </w:r>
    </w:p>
    <w:p w14:paraId="6AD4BF8B" w14:textId="77777777" w:rsidR="00DC2DED" w:rsidRDefault="00DC2DED">
      <w:pPr>
        <w:spacing w:after="80"/>
      </w:pPr>
    </w:p>
    <w:p w14:paraId="7EC5397E" w14:textId="77777777" w:rsidR="00DC2DED" w:rsidRDefault="00000000">
      <w:pPr>
        <w:spacing w:before="80" w:after="60"/>
        <w:jc w:val="center"/>
      </w:pPr>
      <w:r>
        <w:rPr>
          <w:noProof/>
        </w:rPr>
        <w:drawing>
          <wp:inline distT="0" distB="0" distL="0" distR="0" wp14:anchorId="756BD934" wp14:editId="5A87284A">
            <wp:extent cx="4159250" cy="2405966"/>
            <wp:effectExtent l="0" t="0" r="0" b="0"/>
            <wp:docPr id="62908263" name="Imagen 62908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9729" cy="2429382"/>
                    </a:xfrm>
                    <a:prstGeom prst="rect">
                      <a:avLst/>
                    </a:prstGeom>
                  </pic:spPr>
                </pic:pic>
              </a:graphicData>
            </a:graphic>
          </wp:inline>
        </w:drawing>
      </w:r>
    </w:p>
    <w:p w14:paraId="6F3B9CAB" w14:textId="77777777" w:rsidR="00DC2DED" w:rsidRDefault="00000000">
      <w:pPr>
        <w:spacing w:before="60" w:after="160"/>
        <w:jc w:val="center"/>
      </w:pPr>
      <w:r>
        <w:rPr>
          <w:i/>
          <w:iCs/>
          <w:color w:val="2F4F6F"/>
          <w:sz w:val="18"/>
          <w:szCs w:val="18"/>
        </w:rPr>
        <w:t xml:space="preserve">Fig. 7. Win </w:t>
      </w:r>
      <w:proofErr w:type="spellStart"/>
      <w:r>
        <w:rPr>
          <w:i/>
          <w:iCs/>
          <w:color w:val="2F4F6F"/>
          <w:sz w:val="18"/>
          <w:szCs w:val="18"/>
        </w:rPr>
        <w:t>rate</w:t>
      </w:r>
      <w:proofErr w:type="spellEnd"/>
      <w:r>
        <w:rPr>
          <w:i/>
          <w:iCs/>
          <w:color w:val="2F4F6F"/>
          <w:sz w:val="18"/>
          <w:szCs w:val="18"/>
        </w:rPr>
        <w:t xml:space="preserve"> histórico en partidos de Mundiales FIFA. Línea punteada: 50% de referencia. Colores: dorado ≥55% (favorito histórico), azul 40-55% (contendor), rojo &lt;40% (historial débil).</w:t>
      </w:r>
    </w:p>
    <w:p w14:paraId="5CF63CBD" w14:textId="77777777" w:rsidR="00DC2DED" w:rsidRDefault="00000000">
      <w:pPr>
        <w:spacing w:after="100" w:line="276" w:lineRule="auto"/>
        <w:jc w:val="both"/>
      </w:pPr>
      <w:r>
        <w:t xml:space="preserve">Brasil lidera con 69.4% en 62 partidos mundialistas. El hallazgo más relevante para el modelo es la discrepancia España: tiene el ELO más alto (2,063) pero solo 49.0% de </w:t>
      </w:r>
      <w:proofErr w:type="spellStart"/>
      <w:r>
        <w:t>win</w:t>
      </w:r>
      <w:proofErr w:type="spellEnd"/>
      <w:r>
        <w:t xml:space="preserve"> </w:t>
      </w:r>
      <w:proofErr w:type="spellStart"/>
      <w:r>
        <w:t>rate</w:t>
      </w:r>
      <w:proofErr w:type="spellEnd"/>
      <w:r>
        <w:t xml:space="preserve"> mundialista. Esta diferencia justifica incluir </w:t>
      </w:r>
      <w:proofErr w:type="spellStart"/>
      <w:r>
        <w:t>wc_win_rate</w:t>
      </w:r>
      <w:proofErr w:type="spellEnd"/>
      <w:r>
        <w:t xml:space="preserve"> como </w:t>
      </w:r>
      <w:proofErr w:type="spellStart"/>
      <w:r>
        <w:t>feature</w:t>
      </w:r>
      <w:proofErr w:type="spellEnd"/>
      <w:r>
        <w:t xml:space="preserve"> independiente del ELO, capturando comportamiento específico bajo presión de torneo.</w:t>
      </w:r>
    </w:p>
    <w:p w14:paraId="6D84F8CC" w14:textId="77777777" w:rsidR="00DC2DED" w:rsidRDefault="00000000">
      <w:pPr>
        <w:pBdr>
          <w:bottom w:val="single" w:sz="6" w:space="4" w:color="1F3864"/>
        </w:pBdr>
        <w:spacing w:before="240" w:after="120"/>
      </w:pPr>
      <w:r>
        <w:rPr>
          <w:b/>
          <w:bCs/>
          <w:color w:val="1F3864"/>
          <w:sz w:val="22"/>
          <w:szCs w:val="22"/>
        </w:rPr>
        <w:t>VIII. ANÁLISIS DEL DECAY TEMPORAL</w:t>
      </w:r>
    </w:p>
    <w:p w14:paraId="214997A8" w14:textId="77777777" w:rsidR="00DC2DED" w:rsidRDefault="00000000">
      <w:pPr>
        <w:spacing w:after="100" w:line="276" w:lineRule="auto"/>
        <w:jc w:val="both"/>
      </w:pPr>
      <w:r>
        <w:t xml:space="preserve">La Fig. 8 muestra la función de </w:t>
      </w:r>
      <w:proofErr w:type="spellStart"/>
      <w:r>
        <w:t>decay</w:t>
      </w:r>
      <w:proofErr w:type="spellEnd"/>
      <w:r>
        <w:t xml:space="preserve"> exponencial y la distribución del peso en el </w:t>
      </w:r>
      <w:proofErr w:type="spellStart"/>
      <w:r>
        <w:t>dataset</w:t>
      </w:r>
      <w:proofErr w:type="spellEnd"/>
      <w:r>
        <w:t>.</w:t>
      </w:r>
    </w:p>
    <w:p w14:paraId="1F4BD117" w14:textId="77777777" w:rsidR="00DC2DED" w:rsidRDefault="00DC2DED">
      <w:pPr>
        <w:spacing w:after="80"/>
      </w:pPr>
    </w:p>
    <w:p w14:paraId="3AA116A7" w14:textId="77777777" w:rsidR="00DC2DED" w:rsidRDefault="00000000">
      <w:pPr>
        <w:spacing w:before="80" w:after="60"/>
        <w:jc w:val="center"/>
      </w:pPr>
      <w:r>
        <w:rPr>
          <w:noProof/>
        </w:rPr>
        <w:lastRenderedPageBreak/>
        <w:drawing>
          <wp:inline distT="0" distB="0" distL="0" distR="0" wp14:anchorId="3E43DA3E" wp14:editId="48A10DA6">
            <wp:extent cx="3130550" cy="1199241"/>
            <wp:effectExtent l="0" t="0" r="0" b="1270"/>
            <wp:docPr id="1080402480" name="Imagen 1080402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57615" cy="1209609"/>
                    </a:xfrm>
                    <a:prstGeom prst="rect">
                      <a:avLst/>
                    </a:prstGeom>
                  </pic:spPr>
                </pic:pic>
              </a:graphicData>
            </a:graphic>
          </wp:inline>
        </w:drawing>
      </w:r>
    </w:p>
    <w:p w14:paraId="50EEE074" w14:textId="77777777" w:rsidR="00DC2DED" w:rsidRDefault="00000000">
      <w:pPr>
        <w:spacing w:before="60" w:after="160"/>
        <w:jc w:val="center"/>
      </w:pPr>
      <w:r>
        <w:rPr>
          <w:i/>
          <w:iCs/>
          <w:color w:val="2F4F6F"/>
          <w:sz w:val="18"/>
          <w:szCs w:val="18"/>
        </w:rPr>
        <w:t xml:space="preserve">Fig. 8. Función de </w:t>
      </w:r>
      <w:proofErr w:type="spellStart"/>
      <w:r>
        <w:rPr>
          <w:i/>
          <w:iCs/>
          <w:color w:val="2F4F6F"/>
          <w:sz w:val="18"/>
          <w:szCs w:val="18"/>
        </w:rPr>
        <w:t>decay</w:t>
      </w:r>
      <w:proofErr w:type="spellEnd"/>
      <w:r>
        <w:rPr>
          <w:i/>
          <w:iCs/>
          <w:color w:val="2F4F6F"/>
          <w:sz w:val="18"/>
          <w:szCs w:val="18"/>
        </w:rPr>
        <w:t xml:space="preserve"> exponencial para tres valores de </w:t>
      </w:r>
      <w:proofErr w:type="spellStart"/>
      <w:r>
        <w:rPr>
          <w:i/>
          <w:iCs/>
          <w:color w:val="2F4F6F"/>
          <w:sz w:val="18"/>
          <w:szCs w:val="18"/>
        </w:rPr>
        <w:t>half-life</w:t>
      </w:r>
      <w:proofErr w:type="spellEnd"/>
      <w:r>
        <w:rPr>
          <w:i/>
          <w:iCs/>
          <w:color w:val="2F4F6F"/>
          <w:sz w:val="18"/>
          <w:szCs w:val="18"/>
        </w:rPr>
        <w:t xml:space="preserve"> (izq.) y distribución del </w:t>
      </w:r>
      <w:proofErr w:type="spellStart"/>
      <w:r>
        <w:rPr>
          <w:i/>
          <w:iCs/>
          <w:color w:val="2F4F6F"/>
          <w:sz w:val="18"/>
          <w:szCs w:val="18"/>
        </w:rPr>
        <w:t>decay_weight</w:t>
      </w:r>
      <w:proofErr w:type="spellEnd"/>
      <w:r>
        <w:rPr>
          <w:i/>
          <w:iCs/>
          <w:color w:val="2F4F6F"/>
          <w:sz w:val="18"/>
          <w:szCs w:val="18"/>
        </w:rPr>
        <w:t xml:space="preserve"> en el </w:t>
      </w:r>
      <w:proofErr w:type="spellStart"/>
      <w:r>
        <w:rPr>
          <w:i/>
          <w:iCs/>
          <w:color w:val="2F4F6F"/>
          <w:sz w:val="18"/>
          <w:szCs w:val="18"/>
        </w:rPr>
        <w:t>dataset</w:t>
      </w:r>
      <w:proofErr w:type="spellEnd"/>
      <w:r>
        <w:rPr>
          <w:i/>
          <w:iCs/>
          <w:color w:val="2F4F6F"/>
          <w:sz w:val="18"/>
          <w:szCs w:val="18"/>
        </w:rPr>
        <w:t xml:space="preserve"> (</w:t>
      </w:r>
      <w:proofErr w:type="spellStart"/>
      <w:r>
        <w:rPr>
          <w:i/>
          <w:iCs/>
          <w:color w:val="2F4F6F"/>
          <w:sz w:val="18"/>
          <w:szCs w:val="18"/>
        </w:rPr>
        <w:t>der</w:t>
      </w:r>
      <w:proofErr w:type="spellEnd"/>
      <w:r>
        <w:rPr>
          <w:i/>
          <w:iCs/>
          <w:color w:val="2F4F6F"/>
          <w:sz w:val="18"/>
          <w:szCs w:val="18"/>
        </w:rPr>
        <w:t xml:space="preserve">.). Se eligió </w:t>
      </w:r>
      <w:proofErr w:type="spellStart"/>
      <w:r>
        <w:rPr>
          <w:i/>
          <w:iCs/>
          <w:color w:val="2F4F6F"/>
          <w:sz w:val="18"/>
          <w:szCs w:val="18"/>
        </w:rPr>
        <w:t>half-life</w:t>
      </w:r>
      <w:proofErr w:type="spellEnd"/>
      <w:r>
        <w:rPr>
          <w:i/>
          <w:iCs/>
          <w:color w:val="2F4F6F"/>
          <w:sz w:val="18"/>
          <w:szCs w:val="18"/>
        </w:rPr>
        <w:t>=4 años.</w:t>
      </w:r>
    </w:p>
    <w:p w14:paraId="7725AF88" w14:textId="77777777" w:rsidR="00DC2DED" w:rsidRDefault="00000000">
      <w:pPr>
        <w:spacing w:after="100" w:line="276" w:lineRule="auto"/>
        <w:jc w:val="both"/>
      </w:pPr>
      <w:r>
        <w:t xml:space="preserve">La concentración de partidos en el valor mínimo de </w:t>
      </w:r>
      <w:proofErr w:type="spellStart"/>
      <w:r>
        <w:t>decay</w:t>
      </w:r>
      <w:proofErr w:type="spellEnd"/>
      <w:r>
        <w:t xml:space="preserve"> (0.05) en el histograma refleja que la mayoría del </w:t>
      </w:r>
      <w:proofErr w:type="spellStart"/>
      <w:r>
        <w:t>dataset</w:t>
      </w:r>
      <w:proofErr w:type="spellEnd"/>
      <w:r>
        <w:t xml:space="preserve"> corresponde a partidos históricos con peso reducido. Los partidos 2024-2025 tienen peso ~0.99, mientras que los de 2010 tienen peso ~0.09. Esta ponderación asegura que el modelo aprende principalmente del fútbol moderno sin descartar el contexto histórico.</w:t>
      </w:r>
    </w:p>
    <w:p w14:paraId="7BCBFC19" w14:textId="77777777" w:rsidR="00DC2DED" w:rsidRDefault="00000000">
      <w:pPr>
        <w:pBdr>
          <w:bottom w:val="single" w:sz="6" w:space="4" w:color="1F3864"/>
        </w:pBdr>
        <w:spacing w:before="240" w:after="120"/>
      </w:pPr>
      <w:r>
        <w:rPr>
          <w:b/>
          <w:bCs/>
          <w:color w:val="1F3864"/>
          <w:sz w:val="22"/>
          <w:szCs w:val="22"/>
        </w:rPr>
        <w:t>IX. CONCLUSIONES DEL EDA</w:t>
      </w:r>
    </w:p>
    <w:p w14:paraId="5B93497C" w14:textId="77777777" w:rsidR="00DC2DED" w:rsidRDefault="00000000">
      <w:pPr>
        <w:spacing w:after="100" w:line="276" w:lineRule="auto"/>
        <w:jc w:val="both"/>
      </w:pPr>
      <w:r>
        <w:t>Los hallazgos del EDA se traducen en las siguientes decisiones concretas de modelado:</w:t>
      </w:r>
    </w:p>
    <w:p w14:paraId="3C77045F" w14:textId="77777777" w:rsidR="00DC2DED" w:rsidRDefault="00000000">
      <w:pPr>
        <w:pStyle w:val="Prrafodelista"/>
        <w:numPr>
          <w:ilvl w:val="0"/>
          <w:numId w:val="2"/>
        </w:numPr>
        <w:spacing w:after="60"/>
      </w:pPr>
      <w:r>
        <w:t>El ELO diferencial (</w:t>
      </w:r>
      <w:proofErr w:type="spellStart"/>
      <w:r>
        <w:t>corr</w:t>
      </w:r>
      <w:proofErr w:type="spellEnd"/>
      <w:r>
        <w:t xml:space="preserve">=0.465) es la </w:t>
      </w:r>
      <w:proofErr w:type="spellStart"/>
      <w:r>
        <w:t>feature</w:t>
      </w:r>
      <w:proofErr w:type="spellEnd"/>
      <w:r>
        <w:t xml:space="preserve"> más predictiva. Se calcula con K variable por tipo de torneo y multiplicador ×1.2 para fases eliminatorias.</w:t>
      </w:r>
    </w:p>
    <w:p w14:paraId="3CEF80AF" w14:textId="77777777" w:rsidR="00DC2DED" w:rsidRDefault="00000000">
      <w:pPr>
        <w:pStyle w:val="Prrafodelista"/>
        <w:numPr>
          <w:ilvl w:val="0"/>
          <w:numId w:val="2"/>
        </w:numPr>
        <w:spacing w:after="60"/>
      </w:pPr>
      <w:r>
        <w:t xml:space="preserve">El desbalance del </w:t>
      </w:r>
      <w:proofErr w:type="gramStart"/>
      <w:r>
        <w:t>target</w:t>
      </w:r>
      <w:proofErr w:type="gramEnd"/>
      <w:r>
        <w:t xml:space="preserve"> (48/24/28%) no requiere técnicas de </w:t>
      </w:r>
      <w:proofErr w:type="gramStart"/>
      <w:r>
        <w:t>rebalanceo</w:t>
      </w:r>
      <w:proofErr w:type="gramEnd"/>
      <w:r>
        <w:t xml:space="preserve"> pero justifica Log-Loss y Brier Score como métricas principales en lugar de </w:t>
      </w:r>
      <w:proofErr w:type="spellStart"/>
      <w:r>
        <w:t>Accuracy</w:t>
      </w:r>
      <w:proofErr w:type="spellEnd"/>
      <w:r>
        <w:t>.</w:t>
      </w:r>
    </w:p>
    <w:p w14:paraId="4B28A10D" w14:textId="77777777" w:rsidR="00DC2DED" w:rsidRDefault="00000000">
      <w:pPr>
        <w:pStyle w:val="Prrafodelista"/>
        <w:numPr>
          <w:ilvl w:val="0"/>
          <w:numId w:val="2"/>
        </w:numPr>
        <w:spacing w:after="60"/>
      </w:pPr>
      <w:r>
        <w:t xml:space="preserve">La ventaja de localía (7.9 </w:t>
      </w:r>
      <w:proofErr w:type="spellStart"/>
      <w:r>
        <w:t>pp</w:t>
      </w:r>
      <w:proofErr w:type="spellEnd"/>
      <w:r>
        <w:t>) es significativa. Para WC2026, todos los partidos son neutrales (</w:t>
      </w:r>
      <w:proofErr w:type="spellStart"/>
      <w:r>
        <w:t>is_neutral</w:t>
      </w:r>
      <w:proofErr w:type="spellEnd"/>
      <w:r>
        <w:t>=1), condición que el modelo maneja correctamente.</w:t>
      </w:r>
    </w:p>
    <w:p w14:paraId="70B743A4" w14:textId="77777777" w:rsidR="00DC2DED" w:rsidRDefault="00000000">
      <w:pPr>
        <w:pStyle w:val="Prrafodelista"/>
        <w:numPr>
          <w:ilvl w:val="0"/>
          <w:numId w:val="2"/>
        </w:numPr>
        <w:spacing w:after="60"/>
      </w:pPr>
      <w:r>
        <w:t xml:space="preserve">Las </w:t>
      </w:r>
      <w:proofErr w:type="spellStart"/>
      <w:r>
        <w:t>features</w:t>
      </w:r>
      <w:proofErr w:type="spellEnd"/>
      <w:r>
        <w:t xml:space="preserve"> diferenciales (</w:t>
      </w:r>
      <w:proofErr w:type="spellStart"/>
      <w:r>
        <w:t>elo_diff</w:t>
      </w:r>
      <w:proofErr w:type="spellEnd"/>
      <w:r>
        <w:t xml:space="preserve">, </w:t>
      </w:r>
      <w:proofErr w:type="spellStart"/>
      <w:r>
        <w:t>win_rate_diff</w:t>
      </w:r>
      <w:proofErr w:type="spellEnd"/>
      <w:r>
        <w:t xml:space="preserve">, </w:t>
      </w:r>
      <w:proofErr w:type="spellStart"/>
      <w:r>
        <w:t>goals_diff</w:t>
      </w:r>
      <w:proofErr w:type="spellEnd"/>
      <w:r>
        <w:t xml:space="preserve">) son más predictivas que los valores absolutos. El mapa de calor confirma multicolinealidad entre valores locales y visitantes, justificando incluir las diferencias como </w:t>
      </w:r>
      <w:proofErr w:type="spellStart"/>
      <w:r>
        <w:t>features</w:t>
      </w:r>
      <w:proofErr w:type="spellEnd"/>
      <w:r>
        <w:t xml:space="preserve"> de interacción.</w:t>
      </w:r>
    </w:p>
    <w:p w14:paraId="41AAD534" w14:textId="77777777" w:rsidR="00DC2DED" w:rsidRDefault="00000000">
      <w:pPr>
        <w:pStyle w:val="Prrafodelista"/>
        <w:numPr>
          <w:ilvl w:val="0"/>
          <w:numId w:val="2"/>
        </w:numPr>
        <w:spacing w:after="60"/>
      </w:pPr>
      <w:r>
        <w:t xml:space="preserve">Los diagramas de bigotes confirman separación estadísticamente significativa entre clases para </w:t>
      </w:r>
      <w:proofErr w:type="spellStart"/>
      <w:r>
        <w:t>elo_diff</w:t>
      </w:r>
      <w:proofErr w:type="spellEnd"/>
      <w:r>
        <w:t xml:space="preserve"> y </w:t>
      </w:r>
      <w:proofErr w:type="spellStart"/>
      <w:r>
        <w:t>win_rate_diff</w:t>
      </w:r>
      <w:proofErr w:type="spellEnd"/>
      <w:r>
        <w:t>, validando su inclusión en el modelo.</w:t>
      </w:r>
    </w:p>
    <w:p w14:paraId="51C1F1A6" w14:textId="77777777" w:rsidR="00DC2DED" w:rsidRDefault="00000000">
      <w:pPr>
        <w:pStyle w:val="Prrafodelista"/>
        <w:numPr>
          <w:ilvl w:val="0"/>
          <w:numId w:val="2"/>
        </w:numPr>
        <w:spacing w:after="60"/>
      </w:pPr>
      <w:r>
        <w:t xml:space="preserve">El </w:t>
      </w:r>
      <w:proofErr w:type="spellStart"/>
      <w:r>
        <w:t>win</w:t>
      </w:r>
      <w:proofErr w:type="spellEnd"/>
      <w:r>
        <w:t xml:space="preserve"> </w:t>
      </w:r>
      <w:proofErr w:type="spellStart"/>
      <w:r>
        <w:t>rate</w:t>
      </w:r>
      <w:proofErr w:type="spellEnd"/>
      <w:r>
        <w:t xml:space="preserve"> mundialista histórico captura información que el ELO no cubre completamente (comportamiento bajo presión de torneo), justificando </w:t>
      </w:r>
      <w:proofErr w:type="spellStart"/>
      <w:r>
        <w:t>wc_win_rate</w:t>
      </w:r>
      <w:proofErr w:type="spellEnd"/>
      <w:r>
        <w:t xml:space="preserve"> como </w:t>
      </w:r>
      <w:proofErr w:type="spellStart"/>
      <w:r>
        <w:t>feature</w:t>
      </w:r>
      <w:proofErr w:type="spellEnd"/>
      <w:r>
        <w:t xml:space="preserve"> independiente.</w:t>
      </w:r>
    </w:p>
    <w:p w14:paraId="18604B44" w14:textId="77777777" w:rsidR="00DC2DED" w:rsidRDefault="00000000">
      <w:pPr>
        <w:pStyle w:val="Prrafodelista"/>
        <w:numPr>
          <w:ilvl w:val="0"/>
          <w:numId w:val="2"/>
        </w:numPr>
        <w:spacing w:after="60"/>
      </w:pPr>
      <w:r>
        <w:t xml:space="preserve">El </w:t>
      </w:r>
      <w:proofErr w:type="spellStart"/>
      <w:r>
        <w:t>decay</w:t>
      </w:r>
      <w:proofErr w:type="spellEnd"/>
      <w:r>
        <w:t xml:space="preserve"> temporal con </w:t>
      </w:r>
      <w:proofErr w:type="spellStart"/>
      <w:r>
        <w:t>half-life</w:t>
      </w:r>
      <w:proofErr w:type="spellEnd"/>
      <w:r>
        <w:t xml:space="preserve">=4 años refleja el ciclo mundialista natural. Se aplica como </w:t>
      </w:r>
      <w:proofErr w:type="spellStart"/>
      <w:r>
        <w:t>sample_weight</w:t>
      </w:r>
      <w:proofErr w:type="spellEnd"/>
      <w:r>
        <w:t xml:space="preserve"> en el entrenamiento, no como filtro de datos.</w:t>
      </w:r>
    </w:p>
    <w:p w14:paraId="41344100" w14:textId="77777777" w:rsidR="00DC2DED" w:rsidRDefault="00DC2DED">
      <w:pPr>
        <w:spacing w:after="80"/>
      </w:pPr>
    </w:p>
    <w:p w14:paraId="0CAE79EA" w14:textId="77777777" w:rsidR="00DC2DED" w:rsidRPr="006C030A" w:rsidRDefault="00000000">
      <w:pPr>
        <w:pBdr>
          <w:bottom w:val="single" w:sz="6" w:space="4" w:color="1F3864"/>
        </w:pBdr>
        <w:spacing w:before="240" w:after="120"/>
        <w:rPr>
          <w:lang w:val="en-US"/>
        </w:rPr>
      </w:pPr>
      <w:r w:rsidRPr="006C030A">
        <w:rPr>
          <w:b/>
          <w:bCs/>
          <w:color w:val="1F3864"/>
          <w:sz w:val="22"/>
          <w:szCs w:val="22"/>
          <w:lang w:val="en-US"/>
        </w:rPr>
        <w:t>REFERENCIAS</w:t>
      </w:r>
    </w:p>
    <w:p w14:paraId="1C87C27A" w14:textId="77777777" w:rsidR="00DC2DED" w:rsidRPr="006C030A" w:rsidRDefault="00000000">
      <w:pPr>
        <w:spacing w:after="80"/>
        <w:jc w:val="both"/>
        <w:rPr>
          <w:lang w:val="en-US"/>
        </w:rPr>
      </w:pPr>
      <w:r w:rsidRPr="006C030A">
        <w:rPr>
          <w:lang w:val="en-US"/>
        </w:rPr>
        <w:t>[1] Mart Jürisoo, "International Football Results 1872–2024," GitHub, 2024. github.com/martj42/</w:t>
      </w:r>
      <w:proofErr w:type="spellStart"/>
      <w:r w:rsidRPr="006C030A">
        <w:rPr>
          <w:lang w:val="en-US"/>
        </w:rPr>
        <w:t>international_results</w:t>
      </w:r>
      <w:proofErr w:type="spellEnd"/>
    </w:p>
    <w:p w14:paraId="1F3C8C34" w14:textId="77777777" w:rsidR="00DC2DED" w:rsidRPr="006C030A" w:rsidRDefault="00000000">
      <w:pPr>
        <w:spacing w:after="80"/>
        <w:jc w:val="both"/>
        <w:rPr>
          <w:lang w:val="en-US"/>
        </w:rPr>
      </w:pPr>
      <w:r w:rsidRPr="006C030A">
        <w:rPr>
          <w:lang w:val="en-US"/>
        </w:rPr>
        <w:t>[2] L. Hvattum y H. Arntzen, "Using ELO ratings for match result prediction in association football," International Journal of Forecasting, vol. 26, no. 3, pp. 460–470, 2010.</w:t>
      </w:r>
    </w:p>
    <w:p w14:paraId="70DB5E1C" w14:textId="77777777" w:rsidR="00DC2DED" w:rsidRPr="006C030A" w:rsidRDefault="00000000">
      <w:pPr>
        <w:spacing w:after="80"/>
        <w:jc w:val="both"/>
        <w:rPr>
          <w:lang w:val="en-US"/>
        </w:rPr>
      </w:pPr>
      <w:r w:rsidRPr="006C030A">
        <w:rPr>
          <w:lang w:val="en-US"/>
        </w:rPr>
        <w:t>[3] M. Dixon y S. Coles, "Modelling association football scores and inefficiencies in the football betting market," Journal of the Royal Statistical Society, vol. 46, no. 2, 1997.</w:t>
      </w:r>
    </w:p>
    <w:sectPr w:rsidR="00DC2DED" w:rsidRPr="006C030A">
      <w:headerReference w:type="default" r:id="rId15"/>
      <w:footerReference w:type="default" r:id="rId16"/>
      <w:pgSz w:w="12240" w:h="15840"/>
      <w:pgMar w:top="1080" w:right="1080" w:bottom="1080" w:left="108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CC889" w14:textId="77777777" w:rsidR="00143645" w:rsidRDefault="00143645">
      <w:r>
        <w:separator/>
      </w:r>
    </w:p>
  </w:endnote>
  <w:endnote w:type="continuationSeparator" w:id="0">
    <w:p w14:paraId="0EF6596B" w14:textId="77777777" w:rsidR="00143645" w:rsidRDefault="00143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463C3" w14:textId="77777777" w:rsidR="00DC2DED" w:rsidRDefault="00000000">
    <w:pPr>
      <w:pBdr>
        <w:top w:val="single" w:sz="4" w:space="4" w:color="1F3864"/>
      </w:pBdr>
      <w:spacing w:before="60"/>
    </w:pPr>
    <w:r w:rsidRPr="006C030A">
      <w:rPr>
        <w:color w:val="2F4F6F"/>
        <w:sz w:val="16"/>
        <w:szCs w:val="16"/>
        <w:lang w:val="en-US"/>
      </w:rPr>
      <w:t xml:space="preserve">Machine Learning — EDA Mundial 2026   |   Pág. </w:t>
    </w:r>
    <w:r>
      <w:rPr>
        <w:color w:val="2F4F6F"/>
        <w:sz w:val="16"/>
        <w:szCs w:val="16"/>
      </w:rPr>
      <w:fldChar w:fldCharType="begin"/>
    </w:r>
    <w:r w:rsidRPr="006C030A">
      <w:rPr>
        <w:color w:val="2F4F6F"/>
        <w:sz w:val="16"/>
        <w:szCs w:val="16"/>
        <w:lang w:val="en-US"/>
      </w:rPr>
      <w:instrText>PAGE</w:instrText>
    </w:r>
    <w:r>
      <w:rPr>
        <w:color w:val="2F4F6F"/>
        <w:sz w:val="16"/>
        <w:szCs w:val="16"/>
      </w:rPr>
      <w:fldChar w:fldCharType="separate"/>
    </w:r>
    <w:r w:rsidR="006C030A">
      <w:rPr>
        <w:noProof/>
        <w:color w:val="2F4F6F"/>
        <w:sz w:val="16"/>
        <w:szCs w:val="16"/>
      </w:rPr>
      <w:t>1</w:t>
    </w:r>
    <w:r>
      <w:rPr>
        <w:color w:val="2F4F6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0B9EE" w14:textId="77777777" w:rsidR="00143645" w:rsidRDefault="00143645">
      <w:r>
        <w:separator/>
      </w:r>
    </w:p>
  </w:footnote>
  <w:footnote w:type="continuationSeparator" w:id="0">
    <w:p w14:paraId="6FD94B27" w14:textId="77777777" w:rsidR="00143645" w:rsidRDefault="001436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903DA" w14:textId="77777777" w:rsidR="00DC2DED" w:rsidRDefault="00000000">
    <w:pPr>
      <w:pBdr>
        <w:bottom w:val="single" w:sz="4" w:space="4" w:color="1F3864"/>
      </w:pBdr>
      <w:spacing w:after="60"/>
    </w:pPr>
    <w:r>
      <w:rPr>
        <w:color w:val="2F4F6F"/>
        <w:sz w:val="16"/>
        <w:szCs w:val="16"/>
      </w:rPr>
      <w:t>EDA — El Oráculo del Balón | Análisis Exploratorio de Datos | Mundial FIFA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933C2"/>
    <w:multiLevelType w:val="hybridMultilevel"/>
    <w:tmpl w:val="BB0A03E4"/>
    <w:lvl w:ilvl="0" w:tplc="C4D2563E">
      <w:start w:val="1"/>
      <w:numFmt w:val="bullet"/>
      <w:lvlText w:val="●"/>
      <w:lvlJc w:val="left"/>
      <w:pPr>
        <w:ind w:left="720" w:hanging="360"/>
      </w:pPr>
    </w:lvl>
    <w:lvl w:ilvl="1" w:tplc="EF649122">
      <w:start w:val="1"/>
      <w:numFmt w:val="bullet"/>
      <w:lvlText w:val="○"/>
      <w:lvlJc w:val="left"/>
      <w:pPr>
        <w:ind w:left="1440" w:hanging="360"/>
      </w:pPr>
    </w:lvl>
    <w:lvl w:ilvl="2" w:tplc="4C92D2F6">
      <w:start w:val="1"/>
      <w:numFmt w:val="bullet"/>
      <w:lvlText w:val="■"/>
      <w:lvlJc w:val="left"/>
      <w:pPr>
        <w:ind w:left="2160" w:hanging="360"/>
      </w:pPr>
    </w:lvl>
    <w:lvl w:ilvl="3" w:tplc="A1907F30">
      <w:start w:val="1"/>
      <w:numFmt w:val="bullet"/>
      <w:lvlText w:val="●"/>
      <w:lvlJc w:val="left"/>
      <w:pPr>
        <w:ind w:left="2880" w:hanging="360"/>
      </w:pPr>
    </w:lvl>
    <w:lvl w:ilvl="4" w:tplc="F0CA361C">
      <w:start w:val="1"/>
      <w:numFmt w:val="bullet"/>
      <w:lvlText w:val="○"/>
      <w:lvlJc w:val="left"/>
      <w:pPr>
        <w:ind w:left="3600" w:hanging="360"/>
      </w:pPr>
    </w:lvl>
    <w:lvl w:ilvl="5" w:tplc="5FDA971C">
      <w:start w:val="1"/>
      <w:numFmt w:val="bullet"/>
      <w:lvlText w:val="■"/>
      <w:lvlJc w:val="left"/>
      <w:pPr>
        <w:ind w:left="4320" w:hanging="360"/>
      </w:pPr>
    </w:lvl>
    <w:lvl w:ilvl="6" w:tplc="9FE6D2E4">
      <w:start w:val="1"/>
      <w:numFmt w:val="bullet"/>
      <w:lvlText w:val="●"/>
      <w:lvlJc w:val="left"/>
      <w:pPr>
        <w:ind w:left="5040" w:hanging="360"/>
      </w:pPr>
    </w:lvl>
    <w:lvl w:ilvl="7" w:tplc="31607CDC">
      <w:start w:val="1"/>
      <w:numFmt w:val="bullet"/>
      <w:lvlText w:val="●"/>
      <w:lvlJc w:val="left"/>
      <w:pPr>
        <w:ind w:left="5760" w:hanging="360"/>
      </w:pPr>
    </w:lvl>
    <w:lvl w:ilvl="8" w:tplc="827E8510">
      <w:start w:val="1"/>
      <w:numFmt w:val="bullet"/>
      <w:lvlText w:val="●"/>
      <w:lvlJc w:val="left"/>
      <w:pPr>
        <w:ind w:left="6480" w:hanging="360"/>
      </w:pPr>
    </w:lvl>
  </w:abstractNum>
  <w:abstractNum w:abstractNumId="1" w15:restartNumberingAfterBreak="0">
    <w:nsid w:val="12544FF4"/>
    <w:multiLevelType w:val="hybridMultilevel"/>
    <w:tmpl w:val="23DC1222"/>
    <w:lvl w:ilvl="0" w:tplc="05E80094">
      <w:start w:val="1"/>
      <w:numFmt w:val="bullet"/>
      <w:lvlText w:val="•"/>
      <w:lvlJc w:val="left"/>
      <w:pPr>
        <w:ind w:left="720" w:hanging="360"/>
      </w:pPr>
    </w:lvl>
    <w:lvl w:ilvl="1" w:tplc="733E7E76">
      <w:numFmt w:val="decimal"/>
      <w:lvlText w:val=""/>
      <w:lvlJc w:val="left"/>
    </w:lvl>
    <w:lvl w:ilvl="2" w:tplc="FE38717A">
      <w:numFmt w:val="decimal"/>
      <w:lvlText w:val=""/>
      <w:lvlJc w:val="left"/>
    </w:lvl>
    <w:lvl w:ilvl="3" w:tplc="B34014CC">
      <w:numFmt w:val="decimal"/>
      <w:lvlText w:val=""/>
      <w:lvlJc w:val="left"/>
    </w:lvl>
    <w:lvl w:ilvl="4" w:tplc="5BEA8C88">
      <w:numFmt w:val="decimal"/>
      <w:lvlText w:val=""/>
      <w:lvlJc w:val="left"/>
    </w:lvl>
    <w:lvl w:ilvl="5" w:tplc="E93643C8">
      <w:numFmt w:val="decimal"/>
      <w:lvlText w:val=""/>
      <w:lvlJc w:val="left"/>
    </w:lvl>
    <w:lvl w:ilvl="6" w:tplc="A7CE101C">
      <w:numFmt w:val="decimal"/>
      <w:lvlText w:val=""/>
      <w:lvlJc w:val="left"/>
    </w:lvl>
    <w:lvl w:ilvl="7" w:tplc="7EFAE4B6">
      <w:numFmt w:val="decimal"/>
      <w:lvlText w:val=""/>
      <w:lvlJc w:val="left"/>
    </w:lvl>
    <w:lvl w:ilvl="8" w:tplc="C6C62C04">
      <w:numFmt w:val="decimal"/>
      <w:lvlText w:val=""/>
      <w:lvlJc w:val="left"/>
    </w:lvl>
  </w:abstractNum>
  <w:num w:numId="1" w16cid:durableId="150490388">
    <w:abstractNumId w:val="0"/>
    <w:lvlOverride w:ilvl="0">
      <w:startOverride w:val="1"/>
    </w:lvlOverride>
  </w:num>
  <w:num w:numId="2" w16cid:durableId="6674392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DED"/>
    <w:rsid w:val="00143645"/>
    <w:rsid w:val="00414876"/>
    <w:rsid w:val="00437798"/>
    <w:rsid w:val="00525167"/>
    <w:rsid w:val="006C030A"/>
    <w:rsid w:val="00DC2DED"/>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086A7"/>
  <w15:docId w15:val="{30F68F98-C5EC-4F80-B3B6-FDC9D65C6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1536</Words>
  <Characters>8449</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31260VIL-MelVillalta Medrano</cp:lastModifiedBy>
  <cp:revision>2</cp:revision>
  <dcterms:created xsi:type="dcterms:W3CDTF">2026-05-25T02:12:00Z</dcterms:created>
  <dcterms:modified xsi:type="dcterms:W3CDTF">2026-05-25T02:12:00Z</dcterms:modified>
</cp:coreProperties>
</file>