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</w:t>
      </w:r>
    </w:p>
    <w:p>
      <w:r>
        <w:t>La plateforme doit assurer une authentification robuste des utilisateurs et une authentification multifacteur pour les comptes d'administration.</w:t>
      </w:r>
    </w:p>
    <w:p>
      <w:r>
        <w:t>Le prestataire de paiement communique par appel HTTPS : les flux sont journalisés et conservés douze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