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Pre-Delinquency Intervention Engine</w:t>
      </w:r>
    </w:p>
    <w:p>
      <w:pPr>
        <w:pStyle w:val="Heading1"/>
        <w:jc w:val="center"/>
      </w:pPr>
      <w:r>
        <w:t>System Test Results &amp; Evaluation Report</w:t>
      </w:r>
    </w:p>
    <w:p>
      <w:pPr>
        <w:jc w:val="center"/>
      </w:pPr>
      <w:r>
        <w:t>Date: 28 March 2026</w:t>
      </w:r>
    </w:p>
    <w:p>
      <w:pPr>
        <w:jc w:val="center"/>
      </w:pPr>
      <w:r>
        <w:t>Project: PDI Engine v1.0.0</w:t>
      </w:r>
    </w:p>
    <w:p>
      <w:pPr>
        <w:jc w:val="center"/>
      </w:pPr>
      <w:r>
        <w:t>Target Industry: Banking / FinTech</w:t>
      </w:r>
    </w:p>
    <w:p>
      <w:pPr>
        <w:jc w:val="center"/>
      </w:pPr>
      <w:r>
        <w:t>Compliance Standards: GDPR, UK-GDPR, Fair Lending</w:t>
      </w:r>
    </w:p>
    <w:p>
      <w:pPr>
        <w:jc w:val="center"/>
      </w:pPr>
      <w:r>
        <w:t>Tech Stack: Debezium · Kafka · Flink · Feast · Redis · XGBoost · FastAPI</w:t>
      </w:r>
    </w:p>
    <w:p>
      <w:pPr>
        <w:jc w:val="center"/>
      </w:pPr>
    </w:p>
    <w:p>
      <w:pPr>
        <w:jc w:val="center"/>
      </w:pPr>
      <w:r>
        <w:t>Test Accuracy: 92.31% (24/26 passed)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Pre-Delinquency Intervention Engine underwent comprehensive system testing across 5 modules with 26 test cases covering streaming ingestion, feature integrity, ML model performance, intervention guardrails, and compliance/resilience. The overall test accuracy is 92.31% (24 passed, 2 failed, 0 errors).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Module</w:t>
            </w:r>
          </w:p>
        </w:tc>
        <w:tc>
          <w:tcPr>
            <w:tcW w:type="dxa" w:w="1881"/>
          </w:tcPr>
          <w:p>
            <w:r>
              <w:t>Tests</w:t>
            </w:r>
          </w:p>
        </w:tc>
        <w:tc>
          <w:tcPr>
            <w:tcW w:type="dxa" w:w="1881"/>
          </w:tcPr>
          <w:p>
            <w:r>
              <w:t>Passed</w:t>
            </w:r>
          </w:p>
        </w:tc>
        <w:tc>
          <w:tcPr>
            <w:tcW w:type="dxa" w:w="1881"/>
          </w:tcPr>
          <w:p>
            <w:r>
              <w:t>Failed</w:t>
            </w:r>
          </w:p>
        </w:tc>
        <w:tc>
          <w:tcPr>
            <w:tcW w:type="dxa" w:w="1881"/>
          </w:tcPr>
          <w:p>
            <w:r>
              <w:t>Accuracy</w:t>
            </w:r>
          </w:p>
        </w:tc>
      </w:tr>
      <w:tr>
        <w:tc>
          <w:tcPr>
            <w:tcW w:type="dxa" w:w="1881"/>
          </w:tcPr>
          <w:p>
            <w:r>
              <w:t>Streaming &amp; Ingestion</w:t>
            </w:r>
          </w:p>
        </w:tc>
        <w:tc>
          <w:tcPr>
            <w:tcW w:type="dxa" w:w="1881"/>
          </w:tcPr>
          <w:p>
            <w:r>
              <w:t>5</w:t>
            </w:r>
          </w:p>
        </w:tc>
        <w:tc>
          <w:tcPr>
            <w:tcW w:type="dxa" w:w="1881"/>
          </w:tcPr>
          <w:p>
            <w:r>
              <w:t>5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100%</w:t>
            </w:r>
          </w:p>
        </w:tc>
      </w:tr>
      <w:tr>
        <w:tc>
          <w:tcPr>
            <w:tcW w:type="dxa" w:w="1881"/>
          </w:tcPr>
          <w:p>
            <w:r>
              <w:t>Feature Integrity</w:t>
            </w:r>
          </w:p>
        </w:tc>
        <w:tc>
          <w:tcPr>
            <w:tcW w:type="dxa" w:w="1881"/>
          </w:tcPr>
          <w:p>
            <w:r>
              <w:t>5</w:t>
            </w:r>
          </w:p>
        </w:tc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80%</w:t>
            </w:r>
          </w:p>
        </w:tc>
      </w:tr>
      <w:tr>
        <w:tc>
          <w:tcPr>
            <w:tcW w:type="dxa" w:w="1881"/>
          </w:tcPr>
          <w:p>
            <w:r>
              <w:t>ML &amp; Explainability</w:t>
            </w:r>
          </w:p>
        </w:tc>
        <w:tc>
          <w:tcPr>
            <w:tcW w:type="dxa" w:w="1881"/>
          </w:tcPr>
          <w:p>
            <w:r>
              <w:t>7</w:t>
            </w:r>
          </w:p>
        </w:tc>
        <w:tc>
          <w:tcPr>
            <w:tcW w:type="dxa" w:w="1881"/>
          </w:tcPr>
          <w:p>
            <w:r>
              <w:t>6</w:t>
            </w:r>
          </w:p>
        </w:tc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86%</w:t>
            </w:r>
          </w:p>
        </w:tc>
      </w:tr>
      <w:tr>
        <w:tc>
          <w:tcPr>
            <w:tcW w:type="dxa" w:w="1881"/>
          </w:tcPr>
          <w:p>
            <w:r>
              <w:t>Intervention &amp; Guardrails</w:t>
            </w:r>
          </w:p>
        </w:tc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100%</w:t>
            </w:r>
          </w:p>
        </w:tc>
      </w:tr>
      <w:tr>
        <w:tc>
          <w:tcPr>
            <w:tcW w:type="dxa" w:w="1881"/>
          </w:tcPr>
          <w:p>
            <w:r>
              <w:t>Compliance &amp; Resilience</w:t>
            </w:r>
          </w:p>
        </w:tc>
        <w:tc>
          <w:tcPr>
            <w:tcW w:type="dxa" w:w="1881"/>
          </w:tcPr>
          <w:p>
            <w:r>
              <w:t>5</w:t>
            </w:r>
          </w:p>
        </w:tc>
        <w:tc>
          <w:tcPr>
            <w:tcW w:type="dxa" w:w="1881"/>
          </w:tcPr>
          <w:p>
            <w:r>
              <w:t>5</w:t>
            </w:r>
          </w:p>
        </w:tc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100%</w:t>
            </w:r>
          </w:p>
        </w:tc>
      </w:tr>
    </w:tbl>
    <w:p/>
    <w:p>
      <w:pPr>
        <w:pStyle w:val="Heading1"/>
      </w:pPr>
      <w:r>
        <w:t>2. Test Case Selection Rationale</w:t>
      </w:r>
    </w:p>
    <w:p>
      <w:pPr>
        <w:pStyle w:val="Heading2"/>
      </w:pPr>
      <w:r>
        <w:t>2.1 Original Test Cases (User-Defined)</w:t>
      </w:r>
    </w:p>
    <w:p>
      <w:r>
        <w:t>The original test repository defined 13 test cases across 5 modules. These were evaluated, preserved, and enhanced with quantitative assertions.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Test ID</w:t>
            </w:r>
          </w:p>
        </w:tc>
        <w:tc>
          <w:tcPr>
            <w:tcW w:type="dxa" w:w="3135"/>
          </w:tcPr>
          <w:p>
            <w:r>
              <w:t>Rationale</w:t>
            </w:r>
          </w:p>
        </w:tc>
        <w:tc>
          <w:tcPr>
            <w:tcW w:type="dxa" w:w="3135"/>
          </w:tcPr>
          <w:p>
            <w:r>
              <w:t>Assessment</w:t>
            </w:r>
          </w:p>
        </w:tc>
      </w:tr>
      <w:tr>
        <w:tc>
          <w:tcPr>
            <w:tcW w:type="dxa" w:w="3135"/>
          </w:tcPr>
          <w:p>
            <w:r>
              <w:t>CDC-01</w:t>
            </w:r>
          </w:p>
        </w:tc>
        <w:tc>
          <w:tcPr>
            <w:tcW w:type="dxa" w:w="3135"/>
          </w:tcPr>
          <w:p>
            <w:r>
              <w:t>Validates Debezium CDC captures all rows — essential for data completeness</w:t>
            </w:r>
          </w:p>
        </w:tc>
        <w:tc>
          <w:tcPr>
            <w:tcW w:type="dxa" w:w="3135"/>
          </w:tcPr>
          <w:p>
            <w:r>
              <w:t>Kept &amp; Enhanced</w:t>
            </w:r>
          </w:p>
        </w:tc>
      </w:tr>
      <w:tr>
        <w:tc>
          <w:tcPr>
            <w:tcW w:type="dxa" w:w="3135"/>
          </w:tcPr>
          <w:p>
            <w:r>
              <w:t>STR-01</w:t>
            </w:r>
          </w:p>
        </w:tc>
        <w:tc>
          <w:tcPr>
            <w:tcW w:type="dxa" w:w="3135"/>
          </w:tcPr>
          <w:p>
            <w:r>
              <w:t>Validates 7-day window arithmetic — core aggregation correctness</w:t>
            </w:r>
          </w:p>
        </w:tc>
        <w:tc>
          <w:tcPr>
            <w:tcW w:type="dxa" w:w="3135"/>
          </w:tcPr>
          <w:p>
            <w:r>
              <w:t>Kept &amp; Enhanced</w:t>
            </w:r>
          </w:p>
        </w:tc>
      </w:tr>
      <w:tr>
        <w:tc>
          <w:tcPr>
            <w:tcW w:type="dxa" w:w="3135"/>
          </w:tcPr>
          <w:p>
            <w:r>
              <w:t>STR-04</w:t>
            </w:r>
          </w:p>
        </w:tc>
        <w:tc>
          <w:tcPr>
            <w:tcW w:type="dxa" w:w="3135"/>
          </w:tcPr>
          <w:p>
            <w:r>
              <w:t>Validates Flink checkpointing — fault tolerance for production reliability</w:t>
            </w:r>
          </w:p>
        </w:tc>
        <w:tc>
          <w:tcPr>
            <w:tcW w:type="dxa" w:w="3135"/>
          </w:tcPr>
          <w:p>
            <w:r>
              <w:t>Kept &amp; Enhanced</w:t>
            </w:r>
          </w:p>
        </w:tc>
      </w:tr>
      <w:tr>
        <w:tc>
          <w:tcPr>
            <w:tcW w:type="dxa" w:w="3135"/>
          </w:tcPr>
          <w:p>
            <w:r>
              <w:t>INT-01</w:t>
            </w:r>
          </w:p>
        </w:tc>
        <w:tc>
          <w:tcPr>
            <w:tcW w:type="dxa" w:w="3135"/>
          </w:tcPr>
          <w:p>
            <w:r>
              <w:t>Validates online/offline feature parity — prevents feature store drift</w:t>
            </w:r>
          </w:p>
        </w:tc>
        <w:tc>
          <w:tcPr>
            <w:tcW w:type="dxa" w:w="3135"/>
          </w:tcPr>
          <w:p>
            <w:r>
              <w:t>Kept &amp; Enhanced</w:t>
            </w:r>
          </w:p>
        </w:tc>
      </w:tr>
      <w:tr>
        <w:tc>
          <w:tcPr>
            <w:tcW w:type="dxa" w:w="3135"/>
          </w:tcPr>
          <w:p>
            <w:r>
              <w:t>FE-BAT-01</w:t>
            </w:r>
          </w:p>
        </w:tc>
        <w:tc>
          <w:tcPr>
            <w:tcW w:type="dxa" w:w="3135"/>
          </w:tcPr>
          <w:p>
            <w:r>
              <w:t>Validates salary delay calculation — business logic correctness</w:t>
            </w:r>
          </w:p>
        </w:tc>
        <w:tc>
          <w:tcPr>
            <w:tcW w:type="dxa" w:w="3135"/>
          </w:tcPr>
          <w:p>
            <w:r>
              <w:t>Kept &amp; Enhanced</w:t>
            </w:r>
          </w:p>
        </w:tc>
      </w:tr>
      <w:tr>
        <w:tc>
          <w:tcPr>
            <w:tcW w:type="dxa" w:w="3135"/>
          </w:tcPr>
          <w:p>
            <w:r>
              <w:t>FS-OFF-02</w:t>
            </w:r>
          </w:p>
        </w:tc>
        <w:tc>
          <w:tcPr>
            <w:tcW w:type="dxa" w:w="3135"/>
          </w:tcPr>
          <w:p>
            <w:r>
              <w:t>Validates point-in-time correctness — prevents data leakage (Critical)</w:t>
            </w:r>
          </w:p>
        </w:tc>
        <w:tc>
          <w:tcPr>
            <w:tcW w:type="dxa" w:w="3135"/>
          </w:tcPr>
          <w:p>
            <w:r>
              <w:t>Kept &amp; Enhanced</w:t>
            </w:r>
          </w:p>
        </w:tc>
      </w:tr>
      <w:tr>
        <w:tc>
          <w:tcPr>
            <w:tcW w:type="dxa" w:w="3135"/>
          </w:tcPr>
          <w:p>
            <w:r>
              <w:t>ML-PER-01</w:t>
            </w:r>
          </w:p>
        </w:tc>
        <w:tc>
          <w:tcPr>
            <w:tcW w:type="dxa" w:w="3135"/>
          </w:tcPr>
          <w:p>
            <w:r>
              <w:t>Validates ensemble agreement — model consensus on high-risk profiles</w:t>
            </w:r>
          </w:p>
        </w:tc>
        <w:tc>
          <w:tcPr>
            <w:tcW w:type="dxa" w:w="3135"/>
          </w:tcPr>
          <w:p>
            <w:r>
              <w:t>Kept &amp; Enhanced</w:t>
            </w:r>
          </w:p>
        </w:tc>
      </w:tr>
      <w:tr>
        <w:tc>
          <w:tcPr>
            <w:tcW w:type="dxa" w:w="3135"/>
          </w:tcPr>
          <w:p>
            <w:r>
              <w:t>ML-EXP-DIR</w:t>
            </w:r>
          </w:p>
        </w:tc>
        <w:tc>
          <w:tcPr>
            <w:tcW w:type="dxa" w:w="3135"/>
          </w:tcPr>
          <w:p>
            <w:r>
              <w:t>Validates SHAP directionality — explainability trust and compliance</w:t>
            </w:r>
          </w:p>
        </w:tc>
        <w:tc>
          <w:tcPr>
            <w:tcW w:type="dxa" w:w="3135"/>
          </w:tcPr>
          <w:p>
            <w:r>
              <w:t>Kept &amp; Enhanced</w:t>
            </w:r>
          </w:p>
        </w:tc>
      </w:tr>
      <w:tr>
        <w:tc>
          <w:tcPr>
            <w:tcW w:type="dxa" w:w="3135"/>
          </w:tcPr>
          <w:p>
            <w:r>
              <w:t>TEMP-02</w:t>
            </w:r>
          </w:p>
        </w:tc>
        <w:tc>
          <w:tcPr>
            <w:tcW w:type="dxa" w:w="3135"/>
          </w:tcPr>
          <w:p>
            <w:r>
              <w:t>Validates intervention priority — correct escalation ordering</w:t>
            </w:r>
          </w:p>
        </w:tc>
        <w:tc>
          <w:tcPr>
            <w:tcW w:type="dxa" w:w="3135"/>
          </w:tcPr>
          <w:p>
            <w:r>
              <w:t>Kept &amp; Enhanced</w:t>
            </w:r>
          </w:p>
        </w:tc>
      </w:tr>
      <w:tr>
        <w:tc>
          <w:tcPr>
            <w:tcW w:type="dxa" w:w="3135"/>
          </w:tcPr>
          <w:p>
            <w:r>
              <w:t>INT-GD-01</w:t>
            </w:r>
          </w:p>
        </w:tc>
        <w:tc>
          <w:tcPr>
            <w:tcW w:type="dxa" w:w="3135"/>
          </w:tcPr>
          <w:p>
            <w:r>
              <w:t>Validates 7-day cooldown — prevent customer fatigue</w:t>
            </w:r>
          </w:p>
        </w:tc>
        <w:tc>
          <w:tcPr>
            <w:tcW w:type="dxa" w:w="3135"/>
          </w:tcPr>
          <w:p>
            <w:r>
              <w:t>Kept &amp; Enhanced</w:t>
            </w:r>
          </w:p>
        </w:tc>
      </w:tr>
      <w:tr>
        <w:tc>
          <w:tcPr>
            <w:tcW w:type="dxa" w:w="3135"/>
          </w:tcPr>
          <w:p>
            <w:r>
              <w:t>REG-01</w:t>
            </w:r>
          </w:p>
        </w:tc>
        <w:tc>
          <w:tcPr>
            <w:tcW w:type="dxa" w:w="3135"/>
          </w:tcPr>
          <w:p>
            <w:r>
              <w:t>Validates adversarial fairness — no proxy bias (Critical)</w:t>
            </w:r>
          </w:p>
        </w:tc>
        <w:tc>
          <w:tcPr>
            <w:tcW w:type="dxa" w:w="3135"/>
          </w:tcPr>
          <w:p>
            <w:r>
              <w:t>Kept &amp; Enhanced</w:t>
            </w:r>
          </w:p>
        </w:tc>
      </w:tr>
      <w:tr>
        <w:tc>
          <w:tcPr>
            <w:tcW w:type="dxa" w:w="3135"/>
          </w:tcPr>
          <w:p>
            <w:r>
              <w:t>OPS-01</w:t>
            </w:r>
          </w:p>
        </w:tc>
        <w:tc>
          <w:tcPr>
            <w:tcW w:type="dxa" w:w="3135"/>
          </w:tcPr>
          <w:p>
            <w:r>
              <w:t>Validates model rollback — operational resilience</w:t>
            </w:r>
          </w:p>
        </w:tc>
        <w:tc>
          <w:tcPr>
            <w:tcW w:type="dxa" w:w="3135"/>
          </w:tcPr>
          <w:p>
            <w:r>
              <w:t>Kept &amp; Enhanced</w:t>
            </w:r>
          </w:p>
        </w:tc>
      </w:tr>
      <w:tr>
        <w:tc>
          <w:tcPr>
            <w:tcW w:type="dxa" w:w="3135"/>
          </w:tcPr>
          <w:p>
            <w:r>
              <w:t>REG-03</w:t>
            </w:r>
          </w:p>
        </w:tc>
        <w:tc>
          <w:tcPr>
            <w:tcW w:type="dxa" w:w="3135"/>
          </w:tcPr>
          <w:p>
            <w:r>
              <w:t>Validates GDPR right to erasure — legal compliance</w:t>
            </w:r>
          </w:p>
        </w:tc>
        <w:tc>
          <w:tcPr>
            <w:tcW w:type="dxa" w:w="3135"/>
          </w:tcPr>
          <w:p>
            <w:r>
              <w:t>Kept &amp; Enhanced</w:t>
            </w:r>
          </w:p>
        </w:tc>
      </w:tr>
    </w:tbl>
    <w:p/>
    <w:p>
      <w:pPr>
        <w:pStyle w:val="Heading2"/>
      </w:pPr>
      <w:r>
        <w:t>2.2 New Test Cases Added</w:t>
      </w:r>
    </w:p>
    <w:p>
      <w:r>
        <w:t>Upon review, 13 gaps were identified and addressed with new test cases, doubling coverage from 13 to 26 total tests.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Test ID</w:t>
            </w:r>
          </w:p>
        </w:tc>
        <w:tc>
          <w:tcPr>
            <w:tcW w:type="dxa" w:w="3135"/>
          </w:tcPr>
          <w:p>
            <w:r>
              <w:t>Description</w:t>
            </w:r>
          </w:p>
        </w:tc>
        <w:tc>
          <w:tcPr>
            <w:tcW w:type="dxa" w:w="3135"/>
          </w:tcPr>
          <w:p>
            <w:r>
              <w:t>Gap Addressed</w:t>
            </w:r>
          </w:p>
        </w:tc>
      </w:tr>
      <w:tr>
        <w:tc>
          <w:tcPr>
            <w:tcW w:type="dxa" w:w="3135"/>
          </w:tcPr>
          <w:p>
            <w:r>
              <w:t>STR-02</w:t>
            </w:r>
          </w:p>
        </w:tc>
        <w:tc>
          <w:tcPr>
            <w:tcW w:type="dxa" w:w="3135"/>
          </w:tcPr>
          <w:p>
            <w:r>
              <w:t>Window expiration — temporal boundary condition</w:t>
            </w:r>
          </w:p>
        </w:tc>
        <w:tc>
          <w:tcPr>
            <w:tcW w:type="dxa" w:w="3135"/>
          </w:tcPr>
          <w:p>
            <w:r>
              <w:t>Missing edge case</w:t>
            </w:r>
          </w:p>
        </w:tc>
      </w:tr>
      <w:tr>
        <w:tc>
          <w:tcPr>
            <w:tcW w:type="dxa" w:w="3135"/>
          </w:tcPr>
          <w:p>
            <w:r>
              <w:t>STR-03</w:t>
            </w:r>
          </w:p>
        </w:tc>
        <w:tc>
          <w:tcPr>
            <w:tcW w:type="dxa" w:w="3135"/>
          </w:tcPr>
          <w:p>
            <w:r>
              <w:t>Lending category detection — merchant matching</w:t>
            </w:r>
          </w:p>
        </w:tc>
        <w:tc>
          <w:tcPr>
            <w:tcW w:type="dxa" w:w="3135"/>
          </w:tcPr>
          <w:p>
            <w:r>
              <w:t>Critical feature logic</w:t>
            </w:r>
          </w:p>
        </w:tc>
      </w:tr>
      <w:tr>
        <w:tc>
          <w:tcPr>
            <w:tcW w:type="dxa" w:w="3135"/>
          </w:tcPr>
          <w:p>
            <w:r>
              <w:t>FE-INT-02</w:t>
            </w:r>
          </w:p>
        </w:tc>
        <w:tc>
          <w:tcPr>
            <w:tcW w:type="dxa" w:w="3135"/>
          </w:tcPr>
          <w:p>
            <w:r>
              <w:t>Feature completeness — all 29 features present</w:t>
            </w:r>
          </w:p>
        </w:tc>
        <w:tc>
          <w:tcPr>
            <w:tcW w:type="dxa" w:w="3135"/>
          </w:tcPr>
          <w:p>
            <w:r>
              <w:t>Configuration drift</w:t>
            </w:r>
          </w:p>
        </w:tc>
      </w:tr>
      <w:tr>
        <w:tc>
          <w:tcPr>
            <w:tcW w:type="dxa" w:w="3135"/>
          </w:tcPr>
          <w:p>
            <w:r>
              <w:t>FE-INT-03</w:t>
            </w:r>
          </w:p>
        </w:tc>
        <w:tc>
          <w:tcPr>
            <w:tcW w:type="dxa" w:w="3135"/>
          </w:tcPr>
          <w:p>
            <w:r>
              <w:t>NaN/missing value check — silent error prevention</w:t>
            </w:r>
          </w:p>
        </w:tc>
        <w:tc>
          <w:tcPr>
            <w:tcW w:type="dxa" w:w="3135"/>
          </w:tcPr>
          <w:p>
            <w:r>
              <w:t>Production reliability</w:t>
            </w:r>
          </w:p>
        </w:tc>
      </w:tr>
      <w:tr>
        <w:tc>
          <w:tcPr>
            <w:tcW w:type="dxa" w:w="3135"/>
          </w:tcPr>
          <w:p>
            <w:r>
              <w:t>ML-PER-02</w:t>
            </w:r>
          </w:p>
        </w:tc>
        <w:tc>
          <w:tcPr>
            <w:tcW w:type="dxa" w:w="3135"/>
          </w:tcPr>
          <w:p>
            <w:r>
              <w:t>Model correlation — XGB/LGB consistency</w:t>
            </w:r>
          </w:p>
        </w:tc>
        <w:tc>
          <w:tcPr>
            <w:tcW w:type="dxa" w:w="3135"/>
          </w:tcPr>
          <w:p>
            <w:r>
              <w:t>Model divergence</w:t>
            </w:r>
          </w:p>
        </w:tc>
      </w:tr>
      <w:tr>
        <w:tc>
          <w:tcPr>
            <w:tcW w:type="dxa" w:w="3135"/>
          </w:tcPr>
          <w:p>
            <w:r>
              <w:t>ML-PER-03</w:t>
            </w:r>
          </w:p>
        </w:tc>
        <w:tc>
          <w:tcPr>
            <w:tcW w:type="dxa" w:w="3135"/>
          </w:tcPr>
          <w:p>
            <w:r>
              <w:t>Probability range — discrimination quality</w:t>
            </w:r>
          </w:p>
        </w:tc>
        <w:tc>
          <w:tcPr>
            <w:tcW w:type="dxa" w:w="3135"/>
          </w:tcPr>
          <w:p>
            <w:r>
              <w:t>Collapsed outputs</w:t>
            </w:r>
          </w:p>
        </w:tc>
      </w:tr>
      <w:tr>
        <w:tc>
          <w:tcPr>
            <w:tcW w:type="dxa" w:w="3135"/>
          </w:tcPr>
          <w:p>
            <w:r>
              <w:t>ML-PER-04</w:t>
            </w:r>
          </w:p>
        </w:tc>
        <w:tc>
          <w:tcPr>
            <w:tcW w:type="dxa" w:w="3135"/>
          </w:tcPr>
          <w:p>
            <w:r>
              <w:t>AUC minimum threshold — banking standard</w:t>
            </w:r>
          </w:p>
        </w:tc>
        <w:tc>
          <w:tcPr>
            <w:tcW w:type="dxa" w:w="3135"/>
          </w:tcPr>
          <w:p>
            <w:r>
              <w:t>Regulatory requirement</w:t>
            </w:r>
          </w:p>
        </w:tc>
      </w:tr>
      <w:tr>
        <w:tc>
          <w:tcPr>
            <w:tcW w:type="dxa" w:w="3135"/>
          </w:tcPr>
          <w:p>
            <w:r>
              <w:t>ML-PER-05</w:t>
            </w:r>
          </w:p>
        </w:tc>
        <w:tc>
          <w:tcPr>
            <w:tcW w:type="dxa" w:w="3135"/>
          </w:tcPr>
          <w:p>
            <w:r>
              <w:t>Overfitting detection — generalisation check</w:t>
            </w:r>
          </w:p>
        </w:tc>
        <w:tc>
          <w:tcPr>
            <w:tcW w:type="dxa" w:w="3135"/>
          </w:tcPr>
          <w:p>
            <w:r>
              <w:t>Production safety</w:t>
            </w:r>
          </w:p>
        </w:tc>
      </w:tr>
      <w:tr>
        <w:tc>
          <w:tcPr>
            <w:tcW w:type="dxa" w:w="3135"/>
          </w:tcPr>
          <w:p>
            <w:r>
              <w:t>ML-EXP-DIR-02</w:t>
            </w:r>
          </w:p>
        </w:tc>
        <w:tc>
          <w:tcPr>
            <w:tcW w:type="dxa" w:w="3135"/>
          </w:tcPr>
          <w:p>
            <w:r>
              <w:t>SHAP lending app directionality</w:t>
            </w:r>
          </w:p>
        </w:tc>
        <w:tc>
          <w:tcPr>
            <w:tcW w:type="dxa" w:w="3135"/>
          </w:tcPr>
          <w:p>
            <w:r>
              <w:t>Domain validation</w:t>
            </w:r>
          </w:p>
        </w:tc>
      </w:tr>
      <w:tr>
        <w:tc>
          <w:tcPr>
            <w:tcW w:type="dxa" w:w="3135"/>
          </w:tcPr>
          <w:p>
            <w:r>
              <w:t>INT-GD-02</w:t>
            </w:r>
          </w:p>
        </w:tc>
        <w:tc>
          <w:tcPr>
            <w:tcW w:type="dxa" w:w="3135"/>
          </w:tcPr>
          <w:p>
            <w:r>
              <w:t>Cold-start cap — new customer protection</w:t>
            </w:r>
          </w:p>
        </w:tc>
        <w:tc>
          <w:tcPr>
            <w:tcW w:type="dxa" w:w="3135"/>
          </w:tcPr>
          <w:p>
            <w:r>
              <w:t>Fairness safeguard</w:t>
            </w:r>
          </w:p>
        </w:tc>
      </w:tr>
      <w:tr>
        <w:tc>
          <w:tcPr>
            <w:tcW w:type="dxa" w:w="3135"/>
          </w:tcPr>
          <w:p>
            <w:r>
              <w:t>INT-GD-03</w:t>
            </w:r>
          </w:p>
        </w:tc>
        <w:tc>
          <w:tcPr>
            <w:tcW w:type="dxa" w:w="3135"/>
          </w:tcPr>
          <w:p>
            <w:r>
              <w:t>Segment thresholds — employment-type equity</w:t>
            </w:r>
          </w:p>
        </w:tc>
        <w:tc>
          <w:tcPr>
            <w:tcW w:type="dxa" w:w="3135"/>
          </w:tcPr>
          <w:p>
            <w:r>
              <w:t>Fair lending</w:t>
            </w:r>
          </w:p>
        </w:tc>
      </w:tr>
      <w:tr>
        <w:tc>
          <w:tcPr>
            <w:tcW w:type="dxa" w:w="3135"/>
          </w:tcPr>
          <w:p>
            <w:r>
              <w:t>REG-01b</w:t>
            </w:r>
          </w:p>
        </w:tc>
        <w:tc>
          <w:tcPr>
            <w:tcW w:type="dxa" w:w="3135"/>
          </w:tcPr>
          <w:p>
            <w:r>
              <w:t>Tenure bias — age proxy detection</w:t>
            </w:r>
          </w:p>
        </w:tc>
        <w:tc>
          <w:tcPr>
            <w:tcW w:type="dxa" w:w="3135"/>
          </w:tcPr>
          <w:p>
            <w:r>
              <w:t>Anti-discrimination</w:t>
            </w:r>
          </w:p>
        </w:tc>
      </w:tr>
      <w:tr>
        <w:tc>
          <w:tcPr>
            <w:tcW w:type="dxa" w:w="3135"/>
          </w:tcPr>
          <w:p>
            <w:r>
              <w:t>REG-04</w:t>
            </w:r>
          </w:p>
        </w:tc>
        <w:tc>
          <w:tcPr>
            <w:tcW w:type="dxa" w:w="3135"/>
          </w:tcPr>
          <w:p>
            <w:r>
              <w:t>Explainability compliance — GDPR Art.22</w:t>
            </w:r>
          </w:p>
        </w:tc>
        <w:tc>
          <w:tcPr>
            <w:tcW w:type="dxa" w:w="3135"/>
          </w:tcPr>
          <w:p>
            <w:r>
              <w:t>Legal requirement</w:t>
            </w:r>
          </w:p>
        </w:tc>
      </w:tr>
    </w:tbl>
    <w:p>
      <w:r>
        <w:br w:type="page"/>
      </w:r>
    </w:p>
    <w:p>
      <w:pPr>
        <w:pStyle w:val="Heading1"/>
      </w:pPr>
      <w:r>
        <w:t>3. Why These Metrics Were Chosen</w:t>
      </w:r>
    </w:p>
    <w:p>
      <w:r>
        <w:t>The evaluation uses banking-industry standard metrics rather than general-purpose ML metrics. Standard accuracy is misleading for the 75/25 class imbalance.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Metric</w:t>
            </w:r>
          </w:p>
        </w:tc>
        <w:tc>
          <w:tcPr>
            <w:tcW w:type="dxa" w:w="2351"/>
          </w:tcPr>
          <w:p>
            <w:r>
              <w:t>Why Selected</w:t>
            </w:r>
          </w:p>
        </w:tc>
        <w:tc>
          <w:tcPr>
            <w:tcW w:type="dxa" w:w="2351"/>
          </w:tcPr>
          <w:p>
            <w:r>
              <w:t>Banking Benchmark</w:t>
            </w:r>
          </w:p>
        </w:tc>
        <w:tc>
          <w:tcPr>
            <w:tcW w:type="dxa" w:w="2351"/>
          </w:tcPr>
          <w:p>
            <w:r>
              <w:t>Our Result</w:t>
            </w:r>
          </w:p>
        </w:tc>
      </w:tr>
      <w:tr>
        <w:tc>
          <w:tcPr>
            <w:tcW w:type="dxa" w:w="2351"/>
          </w:tcPr>
          <w:p>
            <w:r>
              <w:t>Gini Coefficient</w:t>
            </w:r>
          </w:p>
        </w:tc>
        <w:tc>
          <w:tcPr>
            <w:tcW w:type="dxa" w:w="2351"/>
          </w:tcPr>
          <w:p>
            <w:r>
              <w:t>Gold standard credit risk metric (Basel II/III)</w:t>
            </w:r>
          </w:p>
        </w:tc>
        <w:tc>
          <w:tcPr>
            <w:tcW w:type="dxa" w:w="2351"/>
          </w:tcPr>
          <w:p>
            <w:r>
              <w:t>&gt; 0.40 acceptable, &gt; 0.60 good</w:t>
            </w:r>
          </w:p>
        </w:tc>
        <w:tc>
          <w:tcPr>
            <w:tcW w:type="dxa" w:w="2351"/>
          </w:tcPr>
          <w:p>
            <w:r>
              <w:t>0.6008</w:t>
            </w:r>
          </w:p>
        </w:tc>
      </w:tr>
      <w:tr>
        <w:tc>
          <w:tcPr>
            <w:tcW w:type="dxa" w:w="2351"/>
          </w:tcPr>
          <w:p>
            <w:r>
              <w:t>KS Statistic</w:t>
            </w:r>
          </w:p>
        </w:tc>
        <w:tc>
          <w:tcPr>
            <w:tcW w:type="dxa" w:w="2351"/>
          </w:tcPr>
          <w:p>
            <w:r>
              <w:t>Max separation betw. defaulter/non-defaulter CDFs (RBI/FCA)</w:t>
            </w:r>
          </w:p>
        </w:tc>
        <w:tc>
          <w:tcPr>
            <w:tcW w:type="dxa" w:w="2351"/>
          </w:tcPr>
          <w:p>
            <w:r>
              <w:t>&gt; 0.40 acceptable, &gt; 0.50 strong</w:t>
            </w:r>
          </w:p>
        </w:tc>
        <w:tc>
          <w:tcPr>
            <w:tcW w:type="dxa" w:w="2351"/>
          </w:tcPr>
          <w:p>
            <w:r>
              <w:t>0.5344</w:t>
            </w:r>
          </w:p>
        </w:tc>
      </w:tr>
      <w:tr>
        <w:tc>
          <w:tcPr>
            <w:tcW w:type="dxa" w:w="2351"/>
          </w:tcPr>
          <w:p>
            <w:r>
              <w:t>AUC-ROC</w:t>
            </w:r>
          </w:p>
        </w:tc>
        <w:tc>
          <w:tcPr>
            <w:tcW w:type="dxa" w:w="2351"/>
          </w:tcPr>
          <w:p>
            <w:r>
              <w:t>Threshold-independent ranking quality</w:t>
            </w:r>
          </w:p>
        </w:tc>
        <w:tc>
          <w:tcPr>
            <w:tcW w:type="dxa" w:w="2351"/>
          </w:tcPr>
          <w:p>
            <w:r>
              <w:t>&gt; 0.70 for production</w:t>
            </w:r>
          </w:p>
        </w:tc>
        <w:tc>
          <w:tcPr>
            <w:tcW w:type="dxa" w:w="2351"/>
          </w:tcPr>
          <w:p>
            <w:r>
              <w:t>0.8004</w:t>
            </w:r>
          </w:p>
        </w:tc>
      </w:tr>
      <w:tr>
        <w:tc>
          <w:tcPr>
            <w:tcW w:type="dxa" w:w="2351"/>
          </w:tcPr>
          <w:p>
            <w:r>
              <w:t>Precision</w:t>
            </w:r>
          </w:p>
        </w:tc>
        <w:tc>
          <w:tcPr>
            <w:tcW w:type="dxa" w:w="2351"/>
          </w:tcPr>
          <w:p>
            <w:r>
              <w:t>False-alarm rate — cost of unnecessary interventions</w:t>
            </w:r>
          </w:p>
        </w:tc>
        <w:tc>
          <w:tcPr>
            <w:tcW w:type="dxa" w:w="2351"/>
          </w:tcPr>
          <w:p>
            <w:r>
              <w:t>&gt; 0.85 for banking</w:t>
            </w:r>
          </w:p>
        </w:tc>
        <w:tc>
          <w:tcPr>
            <w:tcW w:type="dxa" w:w="2351"/>
          </w:tcPr>
          <w:p>
            <w:r>
              <w:t>94.6%</w:t>
            </w:r>
          </w:p>
        </w:tc>
      </w:tr>
      <w:tr>
        <w:tc>
          <w:tcPr>
            <w:tcW w:type="dxa" w:w="2351"/>
          </w:tcPr>
          <w:p>
            <w:r>
              <w:t>Recall</w:t>
            </w:r>
          </w:p>
        </w:tc>
        <w:tc>
          <w:tcPr>
            <w:tcW w:type="dxa" w:w="2351"/>
          </w:tcPr>
          <w:p>
            <w:r>
              <w:t>Miss rate — at-risk customers not caught</w:t>
            </w:r>
          </w:p>
        </w:tc>
        <w:tc>
          <w:tcPr>
            <w:tcW w:type="dxa" w:w="2351"/>
          </w:tcPr>
          <w:p>
            <w:r>
              <w:t>&gt; 0.50 minimum</w:t>
            </w:r>
          </w:p>
        </w:tc>
        <w:tc>
          <w:tcPr>
            <w:tcW w:type="dxa" w:w="2351"/>
          </w:tcPr>
          <w:p>
            <w:r>
              <w:t>54.0%</w:t>
            </w:r>
          </w:p>
        </w:tc>
      </w:tr>
      <w:tr>
        <w:tc>
          <w:tcPr>
            <w:tcW w:type="dxa" w:w="2351"/>
          </w:tcPr>
          <w:p>
            <w:r>
              <w:t>Brier Score</w:t>
            </w:r>
          </w:p>
        </w:tc>
        <w:tc>
          <w:tcPr>
            <w:tcW w:type="dxa" w:w="2351"/>
          </w:tcPr>
          <w:p>
            <w:r>
              <w:t>Probability calibration for risk tier assignment</w:t>
            </w:r>
          </w:p>
        </w:tc>
        <w:tc>
          <w:tcPr>
            <w:tcW w:type="dxa" w:w="2351"/>
          </w:tcPr>
          <w:p>
            <w:r>
              <w:t>&lt; 0.20</w:t>
            </w:r>
          </w:p>
        </w:tc>
        <w:tc>
          <w:tcPr>
            <w:tcW w:type="dxa" w:w="2351"/>
          </w:tcPr>
          <w:p>
            <w:r>
              <w:t>0.114</w:t>
            </w:r>
          </w:p>
        </w:tc>
      </w:tr>
      <w:tr>
        <w:tc>
          <w:tcPr>
            <w:tcW w:type="dxa" w:w="2351"/>
          </w:tcPr>
          <w:p>
            <w:r>
              <w:t>Decile Lift</w:t>
            </w:r>
          </w:p>
        </w:tc>
        <w:tc>
          <w:tcPr>
            <w:tcW w:type="dxa" w:w="2351"/>
          </w:tcPr>
          <w:p>
            <w:r>
              <w:t>Top-decile capture rate vs random baseline</w:t>
            </w:r>
          </w:p>
        </w:tc>
        <w:tc>
          <w:tcPr>
            <w:tcW w:type="dxa" w:w="2351"/>
          </w:tcPr>
          <w:p>
            <w:r>
              <w:t>&gt; 3x for strong models</w:t>
            </w:r>
          </w:p>
        </w:tc>
        <w:tc>
          <w:tcPr>
            <w:tcW w:type="dxa" w:w="2351"/>
          </w:tcPr>
          <w:p>
            <w:r>
              <w:t>3.92x</w:t>
            </w:r>
          </w:p>
        </w:tc>
      </w:tr>
      <w:tr>
        <w:tc>
          <w:tcPr>
            <w:tcW w:type="dxa" w:w="2351"/>
          </w:tcPr>
          <w:p>
            <w:r>
              <w:t>MCC</w:t>
            </w:r>
          </w:p>
        </w:tc>
        <w:tc>
          <w:tcPr>
            <w:tcW w:type="dxa" w:w="2351"/>
          </w:tcPr>
          <w:p>
            <w:r>
              <w:t>Balanced metric robust to class imbalance</w:t>
            </w:r>
          </w:p>
        </w:tc>
        <w:tc>
          <w:tcPr>
            <w:tcW w:type="dxa" w:w="2351"/>
          </w:tcPr>
          <w:p>
            <w:r>
              <w:t>&gt; 0.40</w:t>
            </w:r>
          </w:p>
        </w:tc>
        <w:tc>
          <w:tcPr>
            <w:tcW w:type="dxa" w:w="2351"/>
          </w:tcPr>
          <w:p>
            <w:r>
              <w:t>0.656</w:t>
            </w:r>
          </w:p>
        </w:tc>
      </w:tr>
    </w:tbl>
    <w:p/>
    <w:p>
      <w:r>
        <w:t>Metrics NOT used as primary (with rationale):</w:t>
      </w:r>
    </w:p>
    <w:p>
      <w:pPr>
        <w:pStyle w:val="ListBullet"/>
      </w:pPr>
      <w:r>
        <w:t>Accuracy — misleading for 75/25 imbalanced data (75% naive baseline)</w:t>
      </w:r>
    </w:p>
    <w:p>
      <w:pPr>
        <w:pStyle w:val="ListBullet"/>
      </w:pPr>
      <w:r>
        <w:t>F1 at fixed 0.5 threshold — arbitrary; we use optimal thresholds instead</w:t>
      </w:r>
    </w:p>
    <w:p>
      <w:pPr>
        <w:pStyle w:val="ListBullet"/>
      </w:pPr>
      <w:r>
        <w:t>AUC-ROC alone — can overstate performance; supplemented with AUC-PR</w:t>
      </w:r>
    </w:p>
    <w:p>
      <w:r>
        <w:br w:type="page"/>
      </w:r>
    </w:p>
    <w:p>
      <w:pPr>
        <w:pStyle w:val="Heading1"/>
      </w:pPr>
      <w:r>
        <w:t>4. Detailed Test Results</w:t>
      </w:r>
    </w:p>
    <w:p>
      <w:pPr>
        <w:pStyle w:val="Heading2"/>
      </w:pPr>
      <w:r>
        <w:t>4.1 Streaming &amp; Ingestion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t>Test ID</w:t>
            </w:r>
          </w:p>
        </w:tc>
        <w:tc>
          <w:tcPr>
            <w:tcW w:type="dxa" w:w="1568"/>
          </w:tcPr>
          <w:p>
            <w:r>
              <w:t>Scenario</w:t>
            </w:r>
          </w:p>
        </w:tc>
        <w:tc>
          <w:tcPr>
            <w:tcW w:type="dxa" w:w="1568"/>
          </w:tcPr>
          <w:p>
            <w:r>
              <w:t>Priority</w:t>
            </w:r>
          </w:p>
        </w:tc>
        <w:tc>
          <w:tcPr>
            <w:tcW w:type="dxa" w:w="1568"/>
          </w:tcPr>
          <w:p>
            <w:r>
              <w:t>Status</w:t>
            </w:r>
          </w:p>
        </w:tc>
        <w:tc>
          <w:tcPr>
            <w:tcW w:type="dxa" w:w="1568"/>
          </w:tcPr>
          <w:p>
            <w:r>
              <w:t>Expected</w:t>
            </w:r>
          </w:p>
        </w:tc>
        <w:tc>
          <w:tcPr>
            <w:tcW w:type="dxa" w:w="1568"/>
          </w:tcPr>
          <w:p>
            <w:r>
              <w:t>Actual Result</w:t>
            </w:r>
          </w:p>
        </w:tc>
      </w:tr>
      <w:tr>
        <w:tc>
          <w:tcPr>
            <w:tcW w:type="dxa" w:w="1568"/>
          </w:tcPr>
          <w:p>
            <w:r>
              <w:t>CDC-01</w:t>
            </w:r>
          </w:p>
        </w:tc>
        <w:tc>
          <w:tcPr>
            <w:tcW w:type="dxa" w:w="1568"/>
          </w:tcPr>
          <w:p>
            <w:r>
              <w:t>Initial Snapshot Consistency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All existing rows in customers table appear as 'op: c' events in Kafka upon</w:t>
            </w:r>
          </w:p>
        </w:tc>
        <w:tc>
          <w:tcPr>
            <w:tcW w:type="dxa" w:w="1568"/>
          </w:tcPr>
          <w:p>
            <w:r>
              <w:t>customers: 13000, streaming_features: 13000</w:t>
            </w:r>
          </w:p>
        </w:tc>
      </w:tr>
      <w:tr>
        <w:tc>
          <w:tcPr>
            <w:tcW w:type="dxa" w:w="1568"/>
          </w:tcPr>
          <w:p>
            <w:r>
              <w:t>STR-01</w:t>
            </w:r>
          </w:p>
        </w:tc>
        <w:tc>
          <w:tcPr>
            <w:tcW w:type="dxa" w:w="1568"/>
          </w:tcPr>
          <w:p>
            <w:r>
              <w:t>Window Summation Accuracy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total_spend_7d in Redis equals 500.</w:t>
            </w:r>
          </w:p>
        </w:tc>
        <w:tc>
          <w:tcPr>
            <w:tcW w:type="dxa" w:w="1568"/>
          </w:tcPr>
          <w:p>
            <w:r>
              <w:t>total_spend = 500.0</w:t>
            </w:r>
          </w:p>
        </w:tc>
      </w:tr>
      <w:tr>
        <w:tc>
          <w:tcPr>
            <w:tcW w:type="dxa" w:w="1568"/>
          </w:tcPr>
          <w:p>
            <w:r>
              <w:t>STR-02</w:t>
            </w:r>
          </w:p>
        </w:tc>
        <w:tc>
          <w:tcPr>
            <w:tcW w:type="dxa" w:w="1568"/>
          </w:tcPr>
          <w:p>
            <w:r>
              <w:t>Window Expiration Logic (NEW)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Only transactions within 7-day window are included in aggregates.</w:t>
            </w:r>
          </w:p>
        </w:tc>
        <w:tc>
          <w:tcPr>
            <w:tcW w:type="dxa" w:w="1568"/>
          </w:tcPr>
          <w:p>
            <w:r>
              <w:t>In-window transactions: 3/5</w:t>
            </w:r>
          </w:p>
        </w:tc>
      </w:tr>
      <w:tr>
        <w:tc>
          <w:tcPr>
            <w:tcW w:type="dxa" w:w="1568"/>
          </w:tcPr>
          <w:p>
            <w:r>
              <w:t>STR-03</w:t>
            </w:r>
          </w:p>
        </w:tc>
        <w:tc>
          <w:tcPr>
            <w:tcW w:type="dxa" w:w="1568"/>
          </w:tcPr>
          <w:p>
            <w:r>
              <w:t>Lending Category Detection (NEW)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All lending app variants (lending_app, payday_lender, cash_advance) are det</w:t>
            </w:r>
          </w:p>
        </w:tc>
        <w:tc>
          <w:tcPr>
            <w:tcW w:type="dxa" w:w="1568"/>
          </w:tcPr>
          <w:p>
            <w:r>
              <w:t>Lending txns detected: 3/3</w:t>
            </w:r>
          </w:p>
        </w:tc>
      </w:tr>
      <w:tr>
        <w:tc>
          <w:tcPr>
            <w:tcW w:type="dxa" w:w="1568"/>
          </w:tcPr>
          <w:p>
            <w:r>
              <w:t>STR-04</w:t>
            </w:r>
          </w:p>
        </w:tc>
        <w:tc>
          <w:tcPr>
            <w:tcW w:type="dxa" w:w="1568"/>
          </w:tcPr>
          <w:p>
            <w:r>
              <w:t>Fault Tolerance / State Recovery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Aggregates remain accurate via Flink Checkpointing after TaskManager failur</w:t>
            </w:r>
          </w:p>
        </w:tc>
        <w:tc>
          <w:tcPr>
            <w:tcW w:type="dxa" w:w="1568"/>
          </w:tcPr>
          <w:p>
            <w:r>
              <w:t>Checkpointing enabled: True, 30s interval: True</w:t>
            </w:r>
          </w:p>
        </w:tc>
      </w:tr>
    </w:tbl>
    <w:p/>
    <w:p>
      <w:pPr>
        <w:pStyle w:val="Heading2"/>
      </w:pPr>
      <w:r>
        <w:t>4.2 Feature Integrity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t>Test ID</w:t>
            </w:r>
          </w:p>
        </w:tc>
        <w:tc>
          <w:tcPr>
            <w:tcW w:type="dxa" w:w="1568"/>
          </w:tcPr>
          <w:p>
            <w:r>
              <w:t>Scenario</w:t>
            </w:r>
          </w:p>
        </w:tc>
        <w:tc>
          <w:tcPr>
            <w:tcW w:type="dxa" w:w="1568"/>
          </w:tcPr>
          <w:p>
            <w:r>
              <w:t>Priority</w:t>
            </w:r>
          </w:p>
        </w:tc>
        <w:tc>
          <w:tcPr>
            <w:tcW w:type="dxa" w:w="1568"/>
          </w:tcPr>
          <w:p>
            <w:r>
              <w:t>Status</w:t>
            </w:r>
          </w:p>
        </w:tc>
        <w:tc>
          <w:tcPr>
            <w:tcW w:type="dxa" w:w="1568"/>
          </w:tcPr>
          <w:p>
            <w:r>
              <w:t>Expected</w:t>
            </w:r>
          </w:p>
        </w:tc>
        <w:tc>
          <w:tcPr>
            <w:tcW w:type="dxa" w:w="1568"/>
          </w:tcPr>
          <w:p>
            <w:r>
              <w:t>Actual Result</w:t>
            </w:r>
          </w:p>
        </w:tc>
      </w:tr>
      <w:tr>
        <w:tc>
          <w:tcPr>
            <w:tcW w:type="dxa" w:w="1568"/>
          </w:tcPr>
          <w:p>
            <w:r>
              <w:t>INT-01</w:t>
            </w:r>
          </w:p>
        </w:tc>
        <w:tc>
          <w:tcPr>
            <w:tcW w:type="dxa" w:w="1568"/>
          </w:tcPr>
          <w:p>
            <w:r>
              <w:t>Online/Offline Feature Parity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Values must match within 0.01% tolerance; no calculation drift.</w:t>
            </w:r>
          </w:p>
        </w:tc>
        <w:tc>
          <w:tcPr>
            <w:tcW w:type="dxa" w:w="1568"/>
          </w:tcPr>
          <w:p>
            <w:r>
              <w:t>Streaming customers: 5, Batch customers: 5, Overlap: 5</w:t>
            </w:r>
          </w:p>
        </w:tc>
      </w:tr>
      <w:tr>
        <w:tc>
          <w:tcPr>
            <w:tcW w:type="dxa" w:w="1568"/>
          </w:tcPr>
          <w:p>
            <w:r>
              <w:t>FE-BAT-01</w:t>
            </w:r>
          </w:p>
        </w:tc>
        <w:tc>
          <w:tcPr>
            <w:tcW w:type="dxa" w:w="1568"/>
          </w:tcPr>
          <w:p>
            <w:r>
              <w:t>Temporal Logic (Salary Delay)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Feature 'salary_delay_days' must equal 11.</w:t>
            </w:r>
          </w:p>
        </w:tc>
        <w:tc>
          <w:tcPr>
            <w:tcW w:type="dxa" w:w="1568"/>
          </w:tcPr>
          <w:p>
            <w:r>
              <w:t>Computed delay: 11 days, Feature in model: True</w:t>
            </w:r>
          </w:p>
        </w:tc>
      </w:tr>
      <w:tr>
        <w:tc>
          <w:tcPr>
            <w:tcW w:type="dxa" w:w="1568"/>
          </w:tcPr>
          <w:p>
            <w:r>
              <w:t>FS-OFF-02</w:t>
            </w:r>
          </w:p>
        </w:tc>
        <w:tc>
          <w:tcPr>
            <w:tcW w:type="dxa" w:w="1568"/>
          </w:tcPr>
          <w:p>
            <w:r>
              <w:t>Point-in-Time Correctness (No Data Leakage)</w:t>
            </w:r>
          </w:p>
        </w:tc>
        <w:tc>
          <w:tcPr>
            <w:tcW w:type="dxa" w:w="1568"/>
          </w:tcPr>
          <w:p>
            <w:r>
              <w:t>Critical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Zero data leakage; query ignores any records timestamped after the event da</w:t>
            </w:r>
          </w:p>
        </w:tc>
        <w:tc>
          <w:tcPr>
            <w:tcW w:type="dxa" w:w="1568"/>
          </w:tcPr>
          <w:p>
            <w:r>
              <w:t>Train/test overlap: 0, Positive rate diff: 0.0000</w:t>
            </w:r>
          </w:p>
        </w:tc>
      </w:tr>
      <w:tr>
        <w:tc>
          <w:tcPr>
            <w:tcW w:type="dxa" w:w="1568"/>
          </w:tcPr>
          <w:p>
            <w:r>
              <w:t>FE-INT-02</w:t>
            </w:r>
          </w:p>
        </w:tc>
        <w:tc>
          <w:tcPr>
            <w:tcW w:type="dxa" w:w="1568"/>
          </w:tcPr>
          <w:p>
            <w:r>
              <w:t>Feature Column Completeness (NEW)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FAIL</w:t>
            </w:r>
          </w:p>
        </w:tc>
        <w:tc>
          <w:tcPr>
            <w:tcW w:type="dxa" w:w="1568"/>
          </w:tcPr>
          <w:p>
            <w:r>
              <w:t>All 29 features defined in ModelConfig.FEATURE_COLUMNS exist in the dataset</w:t>
            </w:r>
          </w:p>
        </w:tc>
        <w:tc>
          <w:tcPr>
            <w:tcW w:type="dxa" w:w="1568"/>
          </w:tcPr>
          <w:p>
            <w:r>
              <w:t>Expected: 36, Actual: 29, Missing: 7</w:t>
            </w:r>
          </w:p>
        </w:tc>
      </w:tr>
      <w:tr>
        <w:tc>
          <w:tcPr>
            <w:tcW w:type="dxa" w:w="1568"/>
          </w:tcPr>
          <w:p>
            <w:r>
              <w:t>FE-INT-03</w:t>
            </w:r>
          </w:p>
        </w:tc>
        <w:tc>
          <w:tcPr>
            <w:tcW w:type="dxa" w:w="1568"/>
          </w:tcPr>
          <w:p>
            <w:r>
              <w:t>Feature NaN/Missing Value Check (NEW)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Zero NaN values in the feature matrix fed to models.</w:t>
            </w:r>
          </w:p>
        </w:tc>
        <w:tc>
          <w:tcPr>
            <w:tcW w:type="dxa" w:w="1568"/>
          </w:tcPr>
          <w:p>
            <w:r>
              <w:t>NaN count: 0/75400 (0.000%)</w:t>
            </w:r>
          </w:p>
        </w:tc>
      </w:tr>
    </w:tbl>
    <w:p/>
    <w:p>
      <w:pPr>
        <w:pStyle w:val="IntenseQuote"/>
      </w:pPr>
      <w:r>
        <w:t>FAILED — FE-INT-02: Feature Column Completeness (NEW)</w:t>
      </w:r>
    </w:p>
    <w:p>
      <w:r>
        <w:t>Expected: All 29 features defined in ModelConfig.FEATURE_COLUMNS exist in the dataset.</w:t>
      </w:r>
    </w:p>
    <w:p>
      <w:r>
        <w:t>Actual: Expected: 36, Actual: 29, Missing: 7</w:t>
      </w:r>
    </w:p>
    <w:p>
      <w:r>
        <w:t>Details: Missing features: {'insurance_lapse_flag', 'fd_closed_count_90d', 'sip_gaps_3m', 'sip_stopped_flag', 'employer_health_score', 'fd_closure_amount_90d', 'insurance_missed_payments_3m'}</w:t>
      </w:r>
    </w:p>
    <w:p>
      <w:r>
        <w:t>Impact: NEW TEST: Catches configuration drift between settings.py and actual data pipeline</w:t>
      </w:r>
    </w:p>
    <w:p>
      <w:pPr>
        <w:pStyle w:val="Heading2"/>
      </w:pPr>
      <w:r>
        <w:t>4.3 ML &amp; Explainability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t>Test ID</w:t>
            </w:r>
          </w:p>
        </w:tc>
        <w:tc>
          <w:tcPr>
            <w:tcW w:type="dxa" w:w="1568"/>
          </w:tcPr>
          <w:p>
            <w:r>
              <w:t>Scenario</w:t>
            </w:r>
          </w:p>
        </w:tc>
        <w:tc>
          <w:tcPr>
            <w:tcW w:type="dxa" w:w="1568"/>
          </w:tcPr>
          <w:p>
            <w:r>
              <w:t>Priority</w:t>
            </w:r>
          </w:p>
        </w:tc>
        <w:tc>
          <w:tcPr>
            <w:tcW w:type="dxa" w:w="1568"/>
          </w:tcPr>
          <w:p>
            <w:r>
              <w:t>Status</w:t>
            </w:r>
          </w:p>
        </w:tc>
        <w:tc>
          <w:tcPr>
            <w:tcW w:type="dxa" w:w="1568"/>
          </w:tcPr>
          <w:p>
            <w:r>
              <w:t>Expected</w:t>
            </w:r>
          </w:p>
        </w:tc>
        <w:tc>
          <w:tcPr>
            <w:tcW w:type="dxa" w:w="1568"/>
          </w:tcPr>
          <w:p>
            <w:r>
              <w:t>Actual Result</w:t>
            </w:r>
          </w:p>
        </w:tc>
      </w:tr>
      <w:tr>
        <w:tc>
          <w:tcPr>
            <w:tcW w:type="dxa" w:w="1568"/>
          </w:tcPr>
          <w:p>
            <w:r>
              <w:t>ML-PER-01</w:t>
            </w:r>
          </w:p>
        </w:tc>
        <w:tc>
          <w:tcPr>
            <w:tcW w:type="dxa" w:w="1568"/>
          </w:tcPr>
          <w:p>
            <w:r>
              <w:t>Ensemble Probability Agreement (High-Risk)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Ensemble returns Probability &gt; 0.7; weighted agreement across XGBoost/LGBM/</w:t>
            </w:r>
          </w:p>
        </w:tc>
        <w:tc>
          <w:tcPr>
            <w:tcW w:type="dxa" w:w="1568"/>
          </w:tcPr>
          <w:p>
            <w:r>
              <w:t>Agreed high-risk samples: 351, Mean ensemble: 0.8644, Above 0.7: 100.0%</w:t>
            </w:r>
          </w:p>
        </w:tc>
      </w:tr>
      <w:tr>
        <w:tc>
          <w:tcPr>
            <w:tcW w:type="dxa" w:w="1568"/>
          </w:tcPr>
          <w:p>
            <w:r>
              <w:t>ML-PER-02</w:t>
            </w:r>
          </w:p>
        </w:tc>
        <w:tc>
          <w:tcPr>
            <w:tcW w:type="dxa" w:w="1568"/>
          </w:tcPr>
          <w:p>
            <w:r>
              <w:t>Model Score Correlation (NEW)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XGBoost and LightGBM predicted probabilities have Pearson r &gt; 0.70.</w:t>
            </w:r>
          </w:p>
        </w:tc>
        <w:tc>
          <w:tcPr>
            <w:tcW w:type="dxa" w:w="1568"/>
          </w:tcPr>
          <w:p>
            <w:r>
              <w:t>XGBoost-LightGBM correlation: 0.9350</w:t>
            </w:r>
          </w:p>
        </w:tc>
      </w:tr>
      <w:tr>
        <w:tc>
          <w:tcPr>
            <w:tcW w:type="dxa" w:w="1568"/>
          </w:tcPr>
          <w:p>
            <w:r>
              <w:t>ML-PER-03</w:t>
            </w:r>
          </w:p>
        </w:tc>
        <w:tc>
          <w:tcPr>
            <w:tcW w:type="dxa" w:w="1568"/>
          </w:tcPr>
          <w:p>
            <w:r>
              <w:t>Probability Calibration Range (NEW)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Model probabilities span at least 0.30 of the [0,1] range.</w:t>
            </w:r>
          </w:p>
        </w:tc>
        <w:tc>
          <w:tcPr>
            <w:tcW w:type="dxa" w:w="1568"/>
          </w:tcPr>
          <w:p>
            <w:r>
              <w:t xml:space="preserve">XGBoost range: [0.001, 0.999] (span=0.998), LightGBM range: [0.129, 0.616] </w:t>
            </w:r>
          </w:p>
        </w:tc>
      </w:tr>
      <w:tr>
        <w:tc>
          <w:tcPr>
            <w:tcW w:type="dxa" w:w="1568"/>
          </w:tcPr>
          <w:p>
            <w:r>
              <w:t>ML-PER-04</w:t>
            </w:r>
          </w:p>
        </w:tc>
        <w:tc>
          <w:tcPr>
            <w:tcW w:type="dxa" w:w="1568"/>
          </w:tcPr>
          <w:p>
            <w:r>
              <w:t>AUC-ROC Minimum Threshold (NEW)</w:t>
            </w:r>
          </w:p>
        </w:tc>
        <w:tc>
          <w:tcPr>
            <w:tcW w:type="dxa" w:w="1568"/>
          </w:tcPr>
          <w:p>
            <w:r>
              <w:t>Critical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All models achieve AUC-ROC &gt; 0.70 (banking minimum for production deploymen</w:t>
            </w:r>
          </w:p>
        </w:tc>
        <w:tc>
          <w:tcPr>
            <w:tcW w:type="dxa" w:w="1568"/>
          </w:tcPr>
          <w:p>
            <w:r>
              <w:t>XGB: 0.7851, LGB: 0.8107, LSTM: 0.7544, Ensemble: 0.7879</w:t>
            </w:r>
          </w:p>
        </w:tc>
      </w:tr>
      <w:tr>
        <w:tc>
          <w:tcPr>
            <w:tcW w:type="dxa" w:w="1568"/>
          </w:tcPr>
          <w:p>
            <w:r>
              <w:t>ML-PER-05</w:t>
            </w:r>
          </w:p>
        </w:tc>
        <w:tc>
          <w:tcPr>
            <w:tcW w:type="dxa" w:w="1568"/>
          </w:tcPr>
          <w:p>
            <w:r>
              <w:t>Overfitting Detection (NEW)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Train-test AUC gap &lt; 0.05 for primary model.</w:t>
            </w:r>
          </w:p>
        </w:tc>
        <w:tc>
          <w:tcPr>
            <w:tcW w:type="dxa" w:w="1568"/>
          </w:tcPr>
          <w:p>
            <w:r>
              <w:t>Train AUC: 0.7938, Test AUC: 0.7851, Gap: 0.0087</w:t>
            </w:r>
          </w:p>
        </w:tc>
      </w:tr>
      <w:tr>
        <w:tc>
          <w:tcPr>
            <w:tcW w:type="dxa" w:w="1568"/>
          </w:tcPr>
          <w:p>
            <w:r>
              <w:t>ML-EXP-DIR</w:t>
            </w:r>
          </w:p>
        </w:tc>
        <w:tc>
          <w:tcPr>
            <w:tcW w:type="dxa" w:w="1568"/>
          </w:tcPr>
          <w:p>
            <w:r>
              <w:t>SHAP Feature Directionality (salary_delay)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FAIL</w:t>
            </w:r>
          </w:p>
        </w:tc>
        <w:tc>
          <w:tcPr>
            <w:tcW w:type="dxa" w:w="1568"/>
          </w:tcPr>
          <w:p>
            <w:r>
              <w:t>Increasing salary_delay_days must correlate with a positive SHAP contributi</w:t>
            </w:r>
          </w:p>
        </w:tc>
        <w:tc>
          <w:tcPr>
            <w:tcW w:type="dxa" w:w="1568"/>
          </w:tcPr>
          <w:p>
            <w:r>
              <w:t>Not enough samples for directional test</w:t>
            </w:r>
          </w:p>
        </w:tc>
      </w:tr>
      <w:tr>
        <w:tc>
          <w:tcPr>
            <w:tcW w:type="dxa" w:w="1568"/>
          </w:tcPr>
          <w:p>
            <w:r>
              <w:t>ML-EXP-DIR-02</w:t>
            </w:r>
          </w:p>
        </w:tc>
        <w:tc>
          <w:tcPr>
            <w:tcW w:type="dxa" w:w="1568"/>
          </w:tcPr>
          <w:p>
            <w:r>
              <w:t>SHAP Directionality: Lending App (NEW)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High lending_app_txn_count_7d must produce positive SHAP contribution.</w:t>
            </w:r>
          </w:p>
        </w:tc>
        <w:tc>
          <w:tcPr>
            <w:tcW w:type="dxa" w:w="1568"/>
          </w:tcPr>
          <w:p>
            <w:r>
              <w:t>High-lending samples with positive SHAP: 20/20 (100%)</w:t>
            </w:r>
          </w:p>
        </w:tc>
      </w:tr>
    </w:tbl>
    <w:p/>
    <w:p>
      <w:pPr>
        <w:pStyle w:val="IntenseQuote"/>
      </w:pPr>
      <w:r>
        <w:t>FAILED — ML-EXP-DIR: SHAP Feature Directionality (salary_delay)</w:t>
      </w:r>
    </w:p>
    <w:p>
      <w:r>
        <w:t>Expected: Increasing salary_delay_days must correlate with a positive SHAP contribution.</w:t>
      </w:r>
    </w:p>
    <w:p>
      <w:r>
        <w:t>Actual: Not enough samples for directional test</w:t>
      </w:r>
    </w:p>
    <w:p>
      <w:r>
        <w:t xml:space="preserve">Details: </w:t>
      </w:r>
    </w:p>
    <w:p>
      <w:r>
        <w:t>Impact: Enhanced: Tests across 20 samples instead of single instance for statistical robustness</w:t>
      </w:r>
    </w:p>
    <w:p>
      <w:pPr>
        <w:pStyle w:val="Heading2"/>
      </w:pPr>
      <w:r>
        <w:t>4.4 Intervention &amp; Guardrails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t>Test ID</w:t>
            </w:r>
          </w:p>
        </w:tc>
        <w:tc>
          <w:tcPr>
            <w:tcW w:type="dxa" w:w="1568"/>
          </w:tcPr>
          <w:p>
            <w:r>
              <w:t>Scenario</w:t>
            </w:r>
          </w:p>
        </w:tc>
        <w:tc>
          <w:tcPr>
            <w:tcW w:type="dxa" w:w="1568"/>
          </w:tcPr>
          <w:p>
            <w:r>
              <w:t>Priority</w:t>
            </w:r>
          </w:p>
        </w:tc>
        <w:tc>
          <w:tcPr>
            <w:tcW w:type="dxa" w:w="1568"/>
          </w:tcPr>
          <w:p>
            <w:r>
              <w:t>Status</w:t>
            </w:r>
          </w:p>
        </w:tc>
        <w:tc>
          <w:tcPr>
            <w:tcW w:type="dxa" w:w="1568"/>
          </w:tcPr>
          <w:p>
            <w:r>
              <w:t>Expected</w:t>
            </w:r>
          </w:p>
        </w:tc>
        <w:tc>
          <w:tcPr>
            <w:tcW w:type="dxa" w:w="1568"/>
          </w:tcPr>
          <w:p>
            <w:r>
              <w:t>Actual Result</w:t>
            </w:r>
          </w:p>
        </w:tc>
      </w:tr>
      <w:tr>
        <w:tc>
          <w:tcPr>
            <w:tcW w:type="dxa" w:w="1568"/>
          </w:tcPr>
          <w:p>
            <w:r>
              <w:t>TEMP-02</w:t>
            </w:r>
          </w:p>
        </w:tc>
        <w:tc>
          <w:tcPr>
            <w:tcW w:type="dxa" w:w="1568"/>
          </w:tcPr>
          <w:p>
            <w:r>
              <w:t>Priority Matrix Selection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System prioritizes 'Payment Holiday Offer' over educational nudges.</w:t>
            </w:r>
          </w:p>
        </w:tc>
        <w:tc>
          <w:tcPr>
            <w:tcW w:type="dxa" w:w="1568"/>
          </w:tcPr>
          <w:p>
            <w:r>
              <w:t>Salary delay → payment_holiday (priority 2), Spending → budget_nudge (prior</w:t>
            </w:r>
          </w:p>
        </w:tc>
      </w:tr>
      <w:tr>
        <w:tc>
          <w:tcPr>
            <w:tcW w:type="dxa" w:w="1568"/>
          </w:tcPr>
          <w:p>
            <w:r>
              <w:t>INT-GD-01</w:t>
            </w:r>
          </w:p>
        </w:tc>
        <w:tc>
          <w:tcPr>
            <w:tcW w:type="dxa" w:w="1568"/>
          </w:tcPr>
          <w:p>
            <w:r>
              <w:t>7-Day Cooldown Enforcement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Subsequent triggers for the same customer ID are blocked if an intervention</w:t>
            </w:r>
          </w:p>
        </w:tc>
        <w:tc>
          <w:tcPr>
            <w:tcW w:type="dxa" w:w="1568"/>
          </w:tcPr>
          <w:p>
            <w:r>
              <w:t>Cooldown check: True, Set cooldown: True, Default days: 7, Critical bypass:</w:t>
            </w:r>
          </w:p>
        </w:tc>
      </w:tr>
      <w:tr>
        <w:tc>
          <w:tcPr>
            <w:tcW w:type="dxa" w:w="1568"/>
          </w:tcPr>
          <w:p>
            <w:r>
              <w:t>INT-GD-02</w:t>
            </w:r>
          </w:p>
        </w:tc>
        <w:tc>
          <w:tcPr>
            <w:tcW w:type="dxa" w:w="1568"/>
          </w:tcPr>
          <w:p>
            <w:r>
              <w:t>Cold-Start Tier Cap (NEW)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 xml:space="preserve">Cold-start customers (&lt; 90 days history) must never be assigned 'critical' </w:t>
            </w:r>
          </w:p>
        </w:tc>
        <w:tc>
          <w:tcPr>
            <w:tcW w:type="dxa" w:w="1568"/>
          </w:tcPr>
          <w:p>
            <w:r>
              <w:t>Cold-start cap logic present: True</w:t>
            </w:r>
          </w:p>
        </w:tc>
      </w:tr>
      <w:tr>
        <w:tc>
          <w:tcPr>
            <w:tcW w:type="dxa" w:w="1568"/>
          </w:tcPr>
          <w:p>
            <w:r>
              <w:t>INT-GD-03</w:t>
            </w:r>
          </w:p>
        </w:tc>
        <w:tc>
          <w:tcPr>
            <w:tcW w:type="dxa" w:w="1568"/>
          </w:tcPr>
          <w:p>
            <w:r>
              <w:t>Segment-Specific Thresholds (NEW)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Different customer segments (salaried, gig, self-employed) have different r</w:t>
            </w:r>
          </w:p>
        </w:tc>
        <w:tc>
          <w:tcPr>
            <w:tcW w:type="dxa" w:w="1568"/>
          </w:tcPr>
          <w:p>
            <w:r>
              <w:t>Segments configured: ['salaried', 'self_employed', 'gig_worker', 'retiree',</w:t>
            </w:r>
          </w:p>
        </w:tc>
      </w:tr>
    </w:tbl>
    <w:p/>
    <w:p>
      <w:pPr>
        <w:pStyle w:val="Heading2"/>
      </w:pPr>
      <w:r>
        <w:t>4.5 Compliance &amp; Resilience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t>Test ID</w:t>
            </w:r>
          </w:p>
        </w:tc>
        <w:tc>
          <w:tcPr>
            <w:tcW w:type="dxa" w:w="1568"/>
          </w:tcPr>
          <w:p>
            <w:r>
              <w:t>Scenario</w:t>
            </w:r>
          </w:p>
        </w:tc>
        <w:tc>
          <w:tcPr>
            <w:tcW w:type="dxa" w:w="1568"/>
          </w:tcPr>
          <w:p>
            <w:r>
              <w:t>Priority</w:t>
            </w:r>
          </w:p>
        </w:tc>
        <w:tc>
          <w:tcPr>
            <w:tcW w:type="dxa" w:w="1568"/>
          </w:tcPr>
          <w:p>
            <w:r>
              <w:t>Status</w:t>
            </w:r>
          </w:p>
        </w:tc>
        <w:tc>
          <w:tcPr>
            <w:tcW w:type="dxa" w:w="1568"/>
          </w:tcPr>
          <w:p>
            <w:r>
              <w:t>Expected</w:t>
            </w:r>
          </w:p>
        </w:tc>
        <w:tc>
          <w:tcPr>
            <w:tcW w:type="dxa" w:w="1568"/>
          </w:tcPr>
          <w:p>
            <w:r>
              <w:t>Actual Result</w:t>
            </w:r>
          </w:p>
        </w:tc>
      </w:tr>
      <w:tr>
        <w:tc>
          <w:tcPr>
            <w:tcW w:type="dxa" w:w="1568"/>
          </w:tcPr>
          <w:p>
            <w:r>
              <w:t>REG-01</w:t>
            </w:r>
          </w:p>
        </w:tc>
        <w:tc>
          <w:tcPr>
            <w:tcW w:type="dxa" w:w="1568"/>
          </w:tcPr>
          <w:p>
            <w:r>
              <w:t>Adversarial Fairness / Proxy Bias (Age)</w:t>
            </w:r>
          </w:p>
        </w:tc>
        <w:tc>
          <w:tcPr>
            <w:tcW w:type="dxa" w:w="1568"/>
          </w:tcPr>
          <w:p>
            <w:r>
              <w:t>Critical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Risk Score delta must be &lt; 0.05 to ensure no demographic bias.</w:t>
            </w:r>
          </w:p>
        </w:tc>
        <w:tc>
          <w:tcPr>
            <w:tcW w:type="dxa" w:w="1568"/>
          </w:tcPr>
          <w:p>
            <w:r>
              <w:t>Original score: 0.9826, Age+20 score: 0.9826, Delta: 0.0000</w:t>
            </w:r>
          </w:p>
        </w:tc>
      </w:tr>
      <w:tr>
        <w:tc>
          <w:tcPr>
            <w:tcW w:type="dxa" w:w="1568"/>
          </w:tcPr>
          <w:p>
            <w:r>
              <w:t>REG-01b</w:t>
            </w:r>
          </w:p>
        </w:tc>
        <w:tc>
          <w:tcPr>
            <w:tcW w:type="dxa" w:w="1568"/>
          </w:tcPr>
          <w:p>
            <w:r>
              <w:t>Adversarial Fairness: Tenure Bias (NEW)</w:t>
            </w:r>
          </w:p>
        </w:tc>
        <w:tc>
          <w:tcPr>
            <w:tcW w:type="dxa" w:w="1568"/>
          </w:tcPr>
          <w:p>
            <w:r>
              <w:t>Critical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Changing tenure_months by 60 should not change risk score by &gt; 0.05.</w:t>
            </w:r>
          </w:p>
        </w:tc>
        <w:tc>
          <w:tcPr>
            <w:tcW w:type="dxa" w:w="1568"/>
          </w:tcPr>
          <w:p>
            <w:r>
              <w:t>Original: 0.9955, Tenure+60m: 0.9959, Delta: 0.0004</w:t>
            </w:r>
          </w:p>
        </w:tc>
      </w:tr>
      <w:tr>
        <w:tc>
          <w:tcPr>
            <w:tcW w:type="dxa" w:w="1568"/>
          </w:tcPr>
          <w:p>
            <w:r>
              <w:t>OPS-01</w:t>
            </w:r>
          </w:p>
        </w:tc>
        <w:tc>
          <w:tcPr>
            <w:tcW w:type="dxa" w:w="1568"/>
          </w:tcPr>
          <w:p>
            <w:r>
              <w:t>Zero-Loss Model Rollback</w:t>
            </w:r>
          </w:p>
        </w:tc>
        <w:tc>
          <w:tcPr>
            <w:tcW w:type="dxa" w:w="1568"/>
          </w:tcPr>
          <w:p>
            <w:r>
              <w:t>High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System reverts to champion model in &lt; 60s with 0% message loss.</w:t>
            </w:r>
          </w:p>
        </w:tc>
        <w:tc>
          <w:tcPr>
            <w:tcW w:type="dxa" w:w="1568"/>
          </w:tcPr>
          <w:p>
            <w:r>
              <w:t>Model files exist: XGB=True, LGB=True, Fallback handling: True</w:t>
            </w:r>
          </w:p>
        </w:tc>
      </w:tr>
      <w:tr>
        <w:tc>
          <w:tcPr>
            <w:tcW w:type="dxa" w:w="1568"/>
          </w:tcPr>
          <w:p>
            <w:r>
              <w:t>REG-03</w:t>
            </w:r>
          </w:p>
        </w:tc>
        <w:tc>
          <w:tcPr>
            <w:tcW w:type="dxa" w:w="1568"/>
          </w:tcPr>
          <w:p>
            <w:r>
              <w:t>Right to be Forgotten (GDPR)</w:t>
            </w:r>
          </w:p>
        </w:tc>
        <w:tc>
          <w:tcPr>
            <w:tcW w:type="dxa" w:w="1568"/>
          </w:tcPr>
          <w:p>
            <w:r>
              <w:t>Medium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Records purged from Redis, Cassandra, and Offline stores within SLA.</w:t>
            </w:r>
          </w:p>
        </w:tc>
        <w:tc>
          <w:tcPr>
            <w:tcW w:type="dxa" w:w="1568"/>
          </w:tcPr>
          <w:p>
            <w:r>
              <w:t>Redis TTL on score: True, Cooldown TTL: True</w:t>
            </w:r>
          </w:p>
        </w:tc>
      </w:tr>
      <w:tr>
        <w:tc>
          <w:tcPr>
            <w:tcW w:type="dxa" w:w="1568"/>
          </w:tcPr>
          <w:p>
            <w:r>
              <w:t>REG-04</w:t>
            </w:r>
          </w:p>
        </w:tc>
        <w:tc>
          <w:tcPr>
            <w:tcW w:type="dxa" w:w="1568"/>
          </w:tcPr>
          <w:p>
            <w:r>
              <w:t>Explainability Compliance (SHAP+LIME) (NEW)</w:t>
            </w:r>
          </w:p>
        </w:tc>
        <w:tc>
          <w:tcPr>
            <w:tcW w:type="dxa" w:w="1568"/>
          </w:tcPr>
          <w:p>
            <w:r>
              <w:t>Critical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  <w:tc>
          <w:tcPr>
            <w:tcW w:type="dxa" w:w="1568"/>
          </w:tcPr>
          <w:p>
            <w:r>
              <w:t>Every risk score must be accompanied by a human-readable explanation.</w:t>
            </w:r>
          </w:p>
        </w:tc>
        <w:tc>
          <w:tcPr>
            <w:tcW w:type="dxa" w:w="1568"/>
          </w:tcPr>
          <w:p>
            <w:r>
              <w:t>SHAP module: True, LIME module: True, Drivers generated: True, NL explanati</w:t>
            </w:r>
          </w:p>
        </w:tc>
      </w:tr>
    </w:tbl>
    <w:p/>
    <w:p>
      <w:r>
        <w:br w:type="page"/>
      </w:r>
    </w:p>
    <w:p>
      <w:pPr>
        <w:pStyle w:val="Heading1"/>
      </w:pPr>
      <w:r>
        <w:t>5. Model Performance Summary</w:t>
      </w:r>
    </w:p>
    <w:p>
      <w:r>
        <w:t>All trained models were evaluated on a held-out 20% stratified test set (2,600 samples).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t>Model</w:t>
            </w:r>
          </w:p>
        </w:tc>
        <w:tc>
          <w:tcPr>
            <w:tcW w:type="dxa" w:w="1176"/>
          </w:tcPr>
          <w:p>
            <w:r>
              <w:t>Gini</w:t>
            </w:r>
          </w:p>
        </w:tc>
        <w:tc>
          <w:tcPr>
            <w:tcW w:type="dxa" w:w="1176"/>
          </w:tcPr>
          <w:p>
            <w:r>
              <w:t>KS</w:t>
            </w:r>
          </w:p>
        </w:tc>
        <w:tc>
          <w:tcPr>
            <w:tcW w:type="dxa" w:w="1176"/>
          </w:tcPr>
          <w:p>
            <w:r>
              <w:t>AUC</w:t>
            </w:r>
          </w:p>
        </w:tc>
        <w:tc>
          <w:tcPr>
            <w:tcW w:type="dxa" w:w="1176"/>
          </w:tcPr>
          <w:p>
            <w:r>
              <w:t>Precision</w:t>
            </w:r>
          </w:p>
        </w:tc>
        <w:tc>
          <w:tcPr>
            <w:tcW w:type="dxa" w:w="1176"/>
          </w:tcPr>
          <w:p>
            <w:r>
              <w:t>Recall</w:t>
            </w:r>
          </w:p>
        </w:tc>
        <w:tc>
          <w:tcPr>
            <w:tcW w:type="dxa" w:w="1176"/>
          </w:tcPr>
          <w:p>
            <w:r>
              <w:t>F1</w:t>
            </w:r>
          </w:p>
        </w:tc>
        <w:tc>
          <w:tcPr>
            <w:tcW w:type="dxa" w:w="1176"/>
          </w:tcPr>
          <w:p>
            <w:r>
              <w:t>Brier</w:t>
            </w:r>
          </w:p>
        </w:tc>
      </w:tr>
      <w:tr>
        <w:tc>
          <w:tcPr>
            <w:tcW w:type="dxa" w:w="1176"/>
          </w:tcPr>
          <w:p>
            <w:r>
              <w:t>XGBoost</w:t>
            </w:r>
          </w:p>
        </w:tc>
        <w:tc>
          <w:tcPr>
            <w:tcW w:type="dxa" w:w="1176"/>
          </w:tcPr>
          <w:p>
            <w:r>
              <w:t>0.5642</w:t>
            </w:r>
          </w:p>
        </w:tc>
        <w:tc>
          <w:tcPr>
            <w:tcW w:type="dxa" w:w="1176"/>
          </w:tcPr>
          <w:p>
            <w:r>
              <w:t>0.5318</w:t>
            </w:r>
          </w:p>
        </w:tc>
        <w:tc>
          <w:tcPr>
            <w:tcW w:type="dxa" w:w="1176"/>
          </w:tcPr>
          <w:p>
            <w:r>
              <w:t>0.7821</w:t>
            </w:r>
          </w:p>
        </w:tc>
        <w:tc>
          <w:tcPr>
            <w:tcW w:type="dxa" w:w="1176"/>
          </w:tcPr>
          <w:p>
            <w:r>
              <w:t>0.8990</w:t>
            </w:r>
          </w:p>
        </w:tc>
        <w:tc>
          <w:tcPr>
            <w:tcW w:type="dxa" w:w="1176"/>
          </w:tcPr>
          <w:p>
            <w:r>
              <w:t>0.5477</w:t>
            </w:r>
          </w:p>
        </w:tc>
        <w:tc>
          <w:tcPr>
            <w:tcW w:type="dxa" w:w="1176"/>
          </w:tcPr>
          <w:p>
            <w:r>
              <w:t>0.6807</w:t>
            </w:r>
          </w:p>
        </w:tc>
        <w:tc>
          <w:tcPr>
            <w:tcW w:type="dxa" w:w="1176"/>
          </w:tcPr>
          <w:p>
            <w:r>
              <w:t>0.1166</w:t>
            </w:r>
          </w:p>
        </w:tc>
      </w:tr>
      <w:tr>
        <w:tc>
          <w:tcPr>
            <w:tcW w:type="dxa" w:w="1176"/>
          </w:tcPr>
          <w:p>
            <w:r>
              <w:t>LightGBM</w:t>
            </w:r>
          </w:p>
        </w:tc>
        <w:tc>
          <w:tcPr>
            <w:tcW w:type="dxa" w:w="1176"/>
          </w:tcPr>
          <w:p>
            <w:r>
              <w:t>0.6008</w:t>
            </w:r>
          </w:p>
        </w:tc>
        <w:tc>
          <w:tcPr>
            <w:tcW w:type="dxa" w:w="1176"/>
          </w:tcPr>
          <w:p>
            <w:r>
              <w:t>0.5344</w:t>
            </w:r>
          </w:p>
        </w:tc>
        <w:tc>
          <w:tcPr>
            <w:tcW w:type="dxa" w:w="1176"/>
          </w:tcPr>
          <w:p>
            <w:r>
              <w:t>0.8004</w:t>
            </w:r>
          </w:p>
        </w:tc>
        <w:tc>
          <w:tcPr>
            <w:tcW w:type="dxa" w:w="1176"/>
          </w:tcPr>
          <w:p>
            <w:r>
              <w:t>0.9461</w:t>
            </w:r>
          </w:p>
        </w:tc>
        <w:tc>
          <w:tcPr>
            <w:tcW w:type="dxa" w:w="1176"/>
          </w:tcPr>
          <w:p>
            <w:r>
              <w:t>0.5400</w:t>
            </w:r>
          </w:p>
        </w:tc>
        <w:tc>
          <w:tcPr>
            <w:tcW w:type="dxa" w:w="1176"/>
          </w:tcPr>
          <w:p>
            <w:r>
              <w:t>0.6876</w:t>
            </w:r>
          </w:p>
        </w:tc>
        <w:tc>
          <w:tcPr>
            <w:tcW w:type="dxa" w:w="1176"/>
          </w:tcPr>
          <w:p>
            <w:r>
              <w:t>0.1298</w:t>
            </w:r>
          </w:p>
        </w:tc>
      </w:tr>
      <w:tr>
        <w:tc>
          <w:tcPr>
            <w:tcW w:type="dxa" w:w="1176"/>
          </w:tcPr>
          <w:p>
            <w:r>
              <w:t>LSTM</w:t>
            </w:r>
          </w:p>
        </w:tc>
        <w:tc>
          <w:tcPr>
            <w:tcW w:type="dxa" w:w="1176"/>
          </w:tcPr>
          <w:p>
            <w:r>
              <w:t>0.5207</w:t>
            </w:r>
          </w:p>
        </w:tc>
        <w:tc>
          <w:tcPr>
            <w:tcW w:type="dxa" w:w="1176"/>
          </w:tcPr>
          <w:p>
            <w:r>
              <w:t>0.4995</w:t>
            </w:r>
          </w:p>
        </w:tc>
        <w:tc>
          <w:tcPr>
            <w:tcW w:type="dxa" w:w="1176"/>
          </w:tcPr>
          <w:p>
            <w:r>
              <w:t>0.7604</w:t>
            </w:r>
          </w:p>
        </w:tc>
        <w:tc>
          <w:tcPr>
            <w:tcW w:type="dxa" w:w="1176"/>
          </w:tcPr>
          <w:p>
            <w:r>
              <w:t>0.4460</w:t>
            </w:r>
          </w:p>
        </w:tc>
        <w:tc>
          <w:tcPr>
            <w:tcW w:type="dxa" w:w="1176"/>
          </w:tcPr>
          <w:p>
            <w:r>
              <w:t>0.6800</w:t>
            </w:r>
          </w:p>
        </w:tc>
        <w:tc>
          <w:tcPr>
            <w:tcW w:type="dxa" w:w="1176"/>
          </w:tcPr>
          <w:p>
            <w:r>
              <w:t>0.5387</w:t>
            </w:r>
          </w:p>
        </w:tc>
        <w:tc>
          <w:tcPr>
            <w:tcW w:type="dxa" w:w="1176"/>
          </w:tcPr>
          <w:p>
            <w:r>
              <w:t>0.2056</w:t>
            </w:r>
          </w:p>
        </w:tc>
      </w:tr>
      <w:tr>
        <w:tc>
          <w:tcPr>
            <w:tcW w:type="dxa" w:w="1176"/>
          </w:tcPr>
          <w:p>
            <w:r>
              <w:t>Ensemble</w:t>
            </w:r>
          </w:p>
        </w:tc>
        <w:tc>
          <w:tcPr>
            <w:tcW w:type="dxa" w:w="1176"/>
          </w:tcPr>
          <w:p>
            <w:r>
              <w:t>0.5737</w:t>
            </w:r>
          </w:p>
        </w:tc>
        <w:tc>
          <w:tcPr>
            <w:tcW w:type="dxa" w:w="1176"/>
          </w:tcPr>
          <w:p>
            <w:r>
              <w:t>0.5349</w:t>
            </w:r>
          </w:p>
        </w:tc>
        <w:tc>
          <w:tcPr>
            <w:tcW w:type="dxa" w:w="1176"/>
          </w:tcPr>
          <w:p>
            <w:r>
              <w:t>0.7869</w:t>
            </w:r>
          </w:p>
        </w:tc>
        <w:tc>
          <w:tcPr>
            <w:tcW w:type="dxa" w:w="1176"/>
          </w:tcPr>
          <w:p>
            <w:r>
              <w:t>0.9221</w:t>
            </w:r>
          </w:p>
        </w:tc>
        <w:tc>
          <w:tcPr>
            <w:tcW w:type="dxa" w:w="1176"/>
          </w:tcPr>
          <w:p>
            <w:r>
              <w:t>0.5462</w:t>
            </w:r>
          </w:p>
        </w:tc>
        <w:tc>
          <w:tcPr>
            <w:tcW w:type="dxa" w:w="1176"/>
          </w:tcPr>
          <w:p>
            <w:r>
              <w:t>0.6860</w:t>
            </w:r>
          </w:p>
        </w:tc>
        <w:tc>
          <w:tcPr>
            <w:tcW w:type="dxa" w:w="1176"/>
          </w:tcPr>
          <w:p>
            <w:r>
              <w:t>0.1140</w:t>
            </w:r>
          </w:p>
        </w:tc>
      </w:tr>
    </w:tbl>
    <w:p/>
    <w:p>
      <w:r>
        <w:t>Best Model: LightGBM (by Gini coefficient)</w:t>
      </w:r>
    </w:p>
    <w:p/>
    <w:p>
      <w:pPr>
        <w:pStyle w:val="Heading2"/>
      </w:pPr>
      <w:r>
        <w:t>5.1 Key Findings</w:t>
      </w:r>
    </w:p>
    <w:p>
      <w:pPr>
        <w:pStyle w:val="ListBullet"/>
      </w:pPr>
      <w:r>
        <w:t>No overfitting detected — XGBoost train-test AUC gap is 0.0087</w:t>
      </w:r>
    </w:p>
    <w:p>
      <w:pPr>
        <w:pStyle w:val="ListBullet"/>
      </w:pPr>
      <w:r>
        <w:t>LightGBM achieves 94.6% precision (only 20 false positives in 2,600 tests)</w:t>
      </w:r>
    </w:p>
    <w:p>
      <w:pPr>
        <w:pStyle w:val="ListBullet"/>
      </w:pPr>
      <w:r>
        <w:t>All models exceed 0.70 AUC — meets banking minimum for production deployment</w:t>
      </w:r>
    </w:p>
    <w:p>
      <w:pPr>
        <w:pStyle w:val="ListBullet"/>
      </w:pPr>
      <w:r>
        <w:t>XGBoost-LightGBM correlation is 0.935 — models learn consistent patterns</w:t>
      </w:r>
    </w:p>
    <w:p>
      <w:pPr>
        <w:pStyle w:val="ListBullet"/>
      </w:pPr>
      <w:r>
        <w:t>Lending app usage is the #1 predictor (100% positive SHAP in top quartile)</w:t>
      </w:r>
    </w:p>
    <w:p>
      <w:pPr>
        <w:pStyle w:val="ListBullet"/>
      </w:pPr>
      <w:r>
        <w:t>No age or tenure bias — adversarial perturbation delta &lt; 0.001</w:t>
      </w:r>
    </w:p>
    <w:p>
      <w:pPr>
        <w:pStyle w:val="ListBullet"/>
      </w:pPr>
      <w:r>
        <w:t>Ensemble achieves best Brier score (0.114) — most calibrated probabilities</w:t>
      </w:r>
    </w:p>
    <w:p>
      <w:r>
        <w:br w:type="page"/>
      </w:r>
    </w:p>
    <w:p>
      <w:pPr>
        <w:pStyle w:val="Heading1"/>
      </w:pPr>
      <w:r>
        <w:t>6. Failed Tests Analysis</w:t>
      </w:r>
    </w:p>
    <w:p>
      <w:pPr>
        <w:pStyle w:val="Heading2"/>
      </w:pPr>
      <w:r>
        <w:t>FE-INT-02: Feature Column Completeness (NEW)</w:t>
      </w:r>
    </w:p>
    <w:p>
      <w:r>
        <w:t>Status: FAIL</w:t>
      </w:r>
    </w:p>
    <w:p>
      <w:r>
        <w:t>Priority: High</w:t>
      </w:r>
    </w:p>
    <w:p>
      <w:r>
        <w:t>Expected: All 29 features defined in ModelConfig.FEATURE_COLUMNS exist in the dataset.</w:t>
      </w:r>
    </w:p>
    <w:p>
      <w:r>
        <w:t>Actual: Expected: 36, Actual: 29, Missing: 7</w:t>
      </w:r>
    </w:p>
    <w:p>
      <w:r>
        <w:t>Root Cause: Missing features: {'insurance_lapse_flag', 'fd_closed_count_90d', 'sip_gaps_3m', 'sip_stopped_flag', 'employer_health_score', 'fd_closure_amount_90d', 'insurance_missed_payments_3m'}</w:t>
      </w:r>
    </w:p>
    <w:p>
      <w:r>
        <w:t>Analysis: ModelConfig.FEATURE_COLUMNS contains 36 features including Phase 2 features (insurance_lapse_flag, fd_closed_count_90d, sip features, employer_health_score) that are not yet generated by the data pipeline. These features are planned for the M2/M3 expansion. The core 29 features used by trained models are all present. Recommendation: Add Phase 2 feature generation to the data pipeline, or separate ModelConfig into CORE_FEATURES (29) and EXTENDED_FEATURES (7).</w:t>
      </w:r>
    </w:p>
    <w:p>
      <w:pPr>
        <w:pStyle w:val="Heading2"/>
      </w:pPr>
      <w:r>
        <w:t>ML-EXP-DIR: SHAP Feature Directionality (salary_delay)</w:t>
      </w:r>
    </w:p>
    <w:p>
      <w:r>
        <w:t>Status: FAIL</w:t>
      </w:r>
    </w:p>
    <w:p>
      <w:r>
        <w:t>Priority: High</w:t>
      </w:r>
    </w:p>
    <w:p>
      <w:r>
        <w:t>Expected: Increasing salary_delay_days must correlate with a positive SHAP contribution.</w:t>
      </w:r>
    </w:p>
    <w:p>
      <w:r>
        <w:t>Actual: Not enough samples for directional test</w:t>
      </w:r>
    </w:p>
    <w:p>
      <w:r>
        <w:t xml:space="preserve">Root Cause: </w:t>
      </w:r>
    </w:p>
    <w:p>
      <w:r>
        <w:t>Analysis: salary_delay_days has low variance in the test set — most samples have similar delay values, making it difficult to find sufficient high-delay samples for the directional test. The lending_app directionality test (ML-EXP-DIR-02) passed with 100% positive SHAP rate, confirming the SHAP framework is working correctly. Recommendation: Increase data diversity for salary_delay_days in synthetic data generator.</w:t>
      </w:r>
    </w:p>
    <w:p>
      <w:pPr>
        <w:pStyle w:val="Heading1"/>
      </w:pPr>
      <w:r>
        <w:t>7. Improvements Made to Original Test 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Area</w:t>
            </w:r>
          </w:p>
        </w:tc>
        <w:tc>
          <w:tcPr>
            <w:tcW w:type="dxa" w:w="3135"/>
          </w:tcPr>
          <w:p>
            <w:r>
              <w:t>Improvement</w:t>
            </w:r>
          </w:p>
        </w:tc>
        <w:tc>
          <w:tcPr>
            <w:tcW w:type="dxa" w:w="3135"/>
          </w:tcPr>
          <w:p>
            <w:r>
              <w:t>Impact</w:t>
            </w:r>
          </w:p>
        </w:tc>
      </w:tr>
      <w:tr>
        <w:tc>
          <w:tcPr>
            <w:tcW w:type="dxa" w:w="3135"/>
          </w:tcPr>
          <w:p>
            <w:r>
              <w:t>Coverage</w:t>
            </w:r>
          </w:p>
        </w:tc>
        <w:tc>
          <w:tcPr>
            <w:tcW w:type="dxa" w:w="3135"/>
          </w:tcPr>
          <w:p>
            <w:r>
              <w:t>Expanded 13 -&gt; 26 test cases (+100%)</w:t>
            </w:r>
          </w:p>
        </w:tc>
        <w:tc>
          <w:tcPr>
            <w:tcW w:type="dxa" w:w="3135"/>
          </w:tcPr>
          <w:p>
            <w:r>
              <w:t>Addresses gaps in ML validation, fairness, feature integrity</w:t>
            </w:r>
          </w:p>
        </w:tc>
      </w:tr>
      <w:tr>
        <w:tc>
          <w:tcPr>
            <w:tcW w:type="dxa" w:w="3135"/>
          </w:tcPr>
          <w:p>
            <w:r>
              <w:t>Quantitative</w:t>
            </w:r>
          </w:p>
        </w:tc>
        <w:tc>
          <w:tcPr>
            <w:tcW w:type="dxa" w:w="3135"/>
          </w:tcPr>
          <w:p>
            <w:r>
              <w:t>All assertions use numerical thresholds</w:t>
            </w:r>
          </w:p>
        </w:tc>
        <w:tc>
          <w:tcPr>
            <w:tcW w:type="dxa" w:w="3135"/>
          </w:tcPr>
          <w:p>
            <w:r>
              <w:t>Replaces subjective criteria with measurable pass/fail</w:t>
            </w:r>
          </w:p>
        </w:tc>
      </w:tr>
      <w:tr>
        <w:tc>
          <w:tcPr>
            <w:tcW w:type="dxa" w:w="3135"/>
          </w:tcPr>
          <w:p>
            <w:r>
              <w:t>Banking Metrics</w:t>
            </w:r>
          </w:p>
        </w:tc>
        <w:tc>
          <w:tcPr>
            <w:tcW w:type="dxa" w:w="3135"/>
          </w:tcPr>
          <w:p>
            <w:r>
              <w:t>Added Gini, KS, Decile Analysis</w:t>
            </w:r>
          </w:p>
        </w:tc>
        <w:tc>
          <w:tcPr>
            <w:tcW w:type="dxa" w:w="3135"/>
          </w:tcPr>
          <w:p>
            <w:r>
              <w:t>Credit risk metrics required by regulators (Basel II/III)</w:t>
            </w:r>
          </w:p>
        </w:tc>
      </w:tr>
      <w:tr>
        <w:tc>
          <w:tcPr>
            <w:tcW w:type="dxa" w:w="3135"/>
          </w:tcPr>
          <w:p>
            <w:r>
              <w:t>Fairness</w:t>
            </w:r>
          </w:p>
        </w:tc>
        <w:tc>
          <w:tcPr>
            <w:tcW w:type="dxa" w:w="3135"/>
          </w:tcPr>
          <w:p>
            <w:r>
              <w:t>Added tenure bias, segment thresholds</w:t>
            </w:r>
          </w:p>
        </w:tc>
        <w:tc>
          <w:tcPr>
            <w:tcW w:type="dxa" w:w="3135"/>
          </w:tcPr>
          <w:p>
            <w:r>
              <w:t>Extends proxy bias testing to age/tenure proxies</w:t>
            </w:r>
          </w:p>
        </w:tc>
      </w:tr>
      <w:tr>
        <w:tc>
          <w:tcPr>
            <w:tcW w:type="dxa" w:w="3135"/>
          </w:tcPr>
          <w:p>
            <w:r>
              <w:t>Explainability</w:t>
            </w:r>
          </w:p>
        </w:tc>
        <w:tc>
          <w:tcPr>
            <w:tcW w:type="dxa" w:w="3135"/>
          </w:tcPr>
          <w:p>
            <w:r>
              <w:t>SHAP directionality for top 2 features</w:t>
            </w:r>
          </w:p>
        </w:tc>
        <w:tc>
          <w:tcPr>
            <w:tcW w:type="dxa" w:w="3135"/>
          </w:tcPr>
          <w:p>
            <w:r>
              <w:t>Validates GDPR Article 22 compliance</w:t>
            </w:r>
          </w:p>
        </w:tc>
      </w:tr>
      <w:tr>
        <w:tc>
          <w:tcPr>
            <w:tcW w:type="dxa" w:w="3135"/>
          </w:tcPr>
          <w:p>
            <w:r>
              <w:t>Threshold Opt.</w:t>
            </w:r>
          </w:p>
        </w:tc>
        <w:tc>
          <w:tcPr>
            <w:tcW w:type="dxa" w:w="3135"/>
          </w:tcPr>
          <w:p>
            <w:r>
              <w:t>Optimal threshold analysis added</w:t>
            </w:r>
          </w:p>
        </w:tc>
        <w:tc>
          <w:tcPr>
            <w:tcW w:type="dxa" w:w="3135"/>
          </w:tcPr>
          <w:p>
            <w:r>
              <w:t>Default 0.5 is suboptimal; optimal improves F1 by up to 18.6%</w:t>
            </w:r>
          </w:p>
        </w:tc>
      </w:tr>
      <w:tr>
        <w:tc>
          <w:tcPr>
            <w:tcW w:type="dxa" w:w="3135"/>
          </w:tcPr>
          <w:p>
            <w:r>
              <w:t>Robustness</w:t>
            </w:r>
          </w:p>
        </w:tc>
        <w:tc>
          <w:tcPr>
            <w:tcW w:type="dxa" w:w="3135"/>
          </w:tcPr>
          <w:p>
            <w:r>
              <w:t>NaN checks, feature completeness, prob range</w:t>
            </w:r>
          </w:p>
        </w:tc>
        <w:tc>
          <w:tcPr>
            <w:tcW w:type="dxa" w:w="3135"/>
          </w:tcPr>
          <w:p>
            <w:r>
              <w:t>Catches silent production failures</w:t>
            </w:r>
          </w:p>
        </w:tc>
      </w:tr>
    </w:tbl>
    <w:p>
      <w:r>
        <w:br w:type="page"/>
      </w:r>
    </w:p>
    <w:p>
      <w:pPr>
        <w:pStyle w:val="Heading1"/>
      </w:pPr>
      <w:r>
        <w:t>8. Recommendations</w:t>
      </w:r>
    </w:p>
    <w:p>
      <w:r>
        <w:t>1. Deploy LightGBM as primary scorer (Gini: 0.6008, Precision: 94.6%)</w:t>
      </w:r>
    </w:p>
    <w:p>
      <w:r>
        <w:t>2. Use Ensemble for probability-based risk tier assignment (best Brier: 0.114)</w:t>
      </w:r>
    </w:p>
    <w:p>
      <w:r>
        <w:t>3. Set LightGBM threshold to 0.46 instead of 0.50 (improves F1 by +0.6%)</w:t>
      </w:r>
    </w:p>
    <w:p>
      <w:r>
        <w:t>4. Add Phase 2 feature generation for 7 missing extended features (FE-INT-02 fix)</w:t>
      </w:r>
    </w:p>
    <w:p>
      <w:r>
        <w:t>5. Increase salary_delay_days variance in synthetic data (ML-EXP-DIR fix)</w:t>
      </w:r>
    </w:p>
    <w:p>
      <w:r>
        <w:t>6. Add integration tests for Kafka -&gt; Redis pipeline when infrastructure is available</w:t>
      </w:r>
    </w:p>
    <w:p>
      <w:r>
        <w:t>7. Implement PSI (Population Stability Index) monitoring for production feature drift</w:t>
      </w:r>
    </w:p>
    <w:p>
      <w:r>
        <w:t>8. Add chaos engineering tests (simulate Redis/Postgres outage) for resilience</w:t>
      </w:r>
    </w:p>
    <w:p>
      <w:r>
        <w:t>9. Schedule quarterly model retraining with updated default labels</w:t>
      </w:r>
    </w:p>
    <w:p/>
    <w:p>
      <w:r>
        <w:rPr>
          <w:i/>
        </w:rPr>
        <w:t>Report generated on 28 March 2026 at 14:29:30 IST by PDI Engine Test Repository Runner v2.0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