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230" w:rsidRPr="0080704B" w:rsidRDefault="0080704B">
      <w:pPr>
        <w:pStyle w:val="Heading1"/>
        <w:rPr>
          <w:color w:val="000000" w:themeColor="text1"/>
        </w:rPr>
      </w:pPr>
      <w:r w:rsidRPr="0080704B">
        <w:rPr>
          <w:color w:val="000000" w:themeColor="text1"/>
        </w:rPr>
        <w:t>Compliance Strategy Document</w:t>
      </w:r>
    </w:p>
    <w:p w:rsidR="007F5230" w:rsidRPr="0080704B" w:rsidRDefault="0080704B">
      <w:pPr>
        <w:pStyle w:val="Heading2"/>
        <w:rPr>
          <w:color w:val="000000" w:themeColor="text1"/>
        </w:rPr>
      </w:pPr>
      <w:r w:rsidRPr="0080704B">
        <w:rPr>
          <w:color w:val="000000" w:themeColor="text1"/>
        </w:rPr>
        <w:t>1. Introduction</w:t>
      </w:r>
    </w:p>
    <w:p w:rsidR="007F5230" w:rsidRDefault="0080704B">
      <w:r>
        <w:t>This document outlines the organization's Compliance Strategy, focusing on Regulatory Compliance, Data Protection, and Compliance Mechanisms. The goal is to ensure adherence to industry regulations, protect customer data, and establish robust compliance frameworks.</w:t>
      </w:r>
    </w:p>
    <w:p w:rsidR="007F5230" w:rsidRPr="0080704B" w:rsidRDefault="0080704B">
      <w:pPr>
        <w:pStyle w:val="Heading2"/>
        <w:rPr>
          <w:color w:val="000000" w:themeColor="text1"/>
        </w:rPr>
      </w:pPr>
      <w:r w:rsidRPr="0080704B">
        <w:rPr>
          <w:color w:val="000000" w:themeColor="text1"/>
        </w:rPr>
        <w:t>2. Regulatory Compliance</w:t>
      </w:r>
    </w:p>
    <w:p w:rsidR="007F5230" w:rsidRDefault="0080704B">
      <w:r>
        <w:t>The organization complies with key banking regulations to ensure transparency, risk management, and anti-fraud measures.</w:t>
      </w:r>
    </w:p>
    <w:p w:rsidR="007F5230" w:rsidRPr="0080704B" w:rsidRDefault="0080704B">
      <w:pPr>
        <w:pStyle w:val="Heading3"/>
        <w:rPr>
          <w:color w:val="000000" w:themeColor="text1"/>
        </w:rPr>
      </w:pPr>
      <w:r w:rsidRPr="0080704B">
        <w:rPr>
          <w:color w:val="000000" w:themeColor="text1"/>
        </w:rPr>
        <w:t>2.1 Banking Regulations</w:t>
      </w:r>
    </w:p>
    <w:p w:rsidR="007F5230" w:rsidRDefault="0080704B">
      <w:r>
        <w:t>Key banking regulations followed by the organization include:</w:t>
      </w:r>
    </w:p>
    <w:p w:rsidR="007F5230" w:rsidRDefault="0080704B">
      <w:r>
        <w:t>• Basel III Compliance - Risk management and capital requirements.</w:t>
      </w:r>
    </w:p>
    <w:p w:rsidR="007F5230" w:rsidRDefault="0080704B">
      <w:r>
        <w:t>• Anti-Money Laundering (AML) Guidelines - Monitoring and reporting suspicious transactions.</w:t>
      </w:r>
    </w:p>
    <w:p w:rsidR="007F5230" w:rsidRDefault="0080704B">
      <w:r>
        <w:t>• Know Your Customer (KYC) Regulations - Customer identity verification and risk assessment.</w:t>
      </w:r>
    </w:p>
    <w:p w:rsidR="007F5230" w:rsidRPr="0080704B" w:rsidRDefault="0080704B">
      <w:pPr>
        <w:pStyle w:val="Heading2"/>
        <w:rPr>
          <w:color w:val="000000" w:themeColor="text1"/>
        </w:rPr>
      </w:pPr>
      <w:r w:rsidRPr="0080704B">
        <w:rPr>
          <w:color w:val="000000" w:themeColor="text1"/>
        </w:rPr>
        <w:t>3. Data Protection</w:t>
      </w:r>
    </w:p>
    <w:p w:rsidR="007F5230" w:rsidRDefault="0080704B">
      <w:r>
        <w:t>The organization adheres to strict data protection regulations to safeguard customer information and prevent data breaches.</w:t>
      </w:r>
    </w:p>
    <w:p w:rsidR="007F5230" w:rsidRDefault="0080704B">
      <w:pPr>
        <w:pStyle w:val="Heading3"/>
      </w:pPr>
      <w:r w:rsidRPr="0080704B">
        <w:rPr>
          <w:color w:val="000000" w:themeColor="text1"/>
        </w:rPr>
        <w:t>3.1 Key Data Protection Regulations</w:t>
      </w:r>
    </w:p>
    <w:p w:rsidR="007F5230" w:rsidRDefault="0080704B">
      <w:r>
        <w:t>• General Data Protection Regulation (GDPR) - European Union data privacy law.</w:t>
      </w:r>
    </w:p>
    <w:p w:rsidR="007F5230" w:rsidRDefault="0080704B">
      <w:r>
        <w:t>• California Consumer Privacy Act (CCPA) - Data privacy rights for California residents.</w:t>
      </w:r>
    </w:p>
    <w:p w:rsidR="007F5230" w:rsidRDefault="0080704B">
      <w:r>
        <w:t>• Local Banking Regulatory Compliance - Adherence to country-specific data protection laws.</w:t>
      </w:r>
    </w:p>
    <w:p w:rsidR="007F5230" w:rsidRPr="003C412D" w:rsidRDefault="0080704B">
      <w:pPr>
        <w:pStyle w:val="Heading2"/>
        <w:rPr>
          <w:color w:val="000000" w:themeColor="text1"/>
        </w:rPr>
      </w:pPr>
      <w:r w:rsidRPr="003C412D">
        <w:rPr>
          <w:color w:val="000000" w:themeColor="text1"/>
        </w:rPr>
        <w:t>4. Compliance Mechanisms</w:t>
      </w:r>
    </w:p>
    <w:p w:rsidR="007F5230" w:rsidRDefault="0080704B">
      <w:r>
        <w:t>The organization implements the following compliance mechanisms to ensure continuous monitoring and regulatory adherence:</w:t>
      </w:r>
    </w:p>
    <w:p w:rsidR="007F5230" w:rsidRDefault="0080704B">
      <w:r>
        <w:t>• Automated transaction monitoring to detect unusual activity.</w:t>
      </w:r>
    </w:p>
    <w:p w:rsidR="007F5230" w:rsidRDefault="0080704B">
      <w:r>
        <w:t>• Suspicious activity reporting (SAR) for regulatory bodies.</w:t>
      </w:r>
    </w:p>
    <w:p w:rsidR="007F5230" w:rsidRDefault="0080704B">
      <w:r>
        <w:t>• Regular internal and external audits for compliance verification.</w:t>
      </w:r>
    </w:p>
    <w:p w:rsidR="007F5230" w:rsidRDefault="0080704B">
      <w:r>
        <w:lastRenderedPageBreak/>
        <w:t>• Comprehensive documentation of compliance processes and policies.</w:t>
      </w:r>
    </w:p>
    <w:p w:rsidR="007F5230" w:rsidRPr="003C412D" w:rsidRDefault="0080704B">
      <w:pPr>
        <w:pStyle w:val="Heading2"/>
        <w:rPr>
          <w:color w:val="000000" w:themeColor="text1"/>
        </w:rPr>
      </w:pPr>
      <w:r w:rsidRPr="003C412D">
        <w:rPr>
          <w:color w:val="000000" w:themeColor="text1"/>
        </w:rPr>
        <w:t>5. Conclusion</w:t>
      </w:r>
    </w:p>
    <w:p w:rsidR="007F5230" w:rsidRDefault="0080704B">
      <w:r>
        <w:t>This Compliance Strategy ensures adherence to regulatory and data protection requirements while implementing robust compliance mechanisms. Regular reviews and audits will be conducted to maintain compliance and adapt to evolving regulations.</w:t>
      </w:r>
    </w:p>
    <w:p w:rsidR="007F5230" w:rsidRDefault="007F5230">
      <w:bookmarkStart w:id="0" w:name="_GoBack"/>
      <w:bookmarkEnd w:id="0"/>
    </w:p>
    <w:sectPr w:rsidR="007F52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C412D"/>
    <w:rsid w:val="00574747"/>
    <w:rsid w:val="006D55D9"/>
    <w:rsid w:val="007F5230"/>
    <w:rsid w:val="0080704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357D2B-8694-40A8-BF2B-5FC6EA40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7D334-4444-4FC1-887F-478D9BFD5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melvin</cp:lastModifiedBy>
  <cp:revision>4</cp:revision>
  <dcterms:created xsi:type="dcterms:W3CDTF">2025-04-03T10:09:00Z</dcterms:created>
  <dcterms:modified xsi:type="dcterms:W3CDTF">2025-04-03T10:16:00Z</dcterms:modified>
  <cp:category/>
</cp:coreProperties>
</file>