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7CC95AA5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56E170B9" w:rsidR="00031093" w:rsidRDefault="00031093" w:rsidP="00174C91">
      <w:pPr>
        <w:rPr>
          <w:u w:val="single"/>
        </w:rPr>
      </w:pPr>
    </w:p>
    <w:p w14:paraId="21AE5EB2" w14:textId="73D98A44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qu’ont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6B9092D6" w:rsidR="00031093" w:rsidRDefault="00031093" w:rsidP="00174C91">
      <w:pPr>
        <w:rPr>
          <w:u w:val="single"/>
        </w:rPr>
      </w:pPr>
    </w:p>
    <w:p w14:paraId="245DFDD3" w14:textId="3C9A0735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u w:val="single"/>
        </w:rPr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56F87065" w:rsidR="00BC49F0" w:rsidRDefault="00BC49F0" w:rsidP="00174C91">
      <w:proofErr w:type="spellStart"/>
      <w:r>
        <w:lastRenderedPageBreak/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>
        <w:br/>
      </w:r>
      <w:proofErr w:type="spellStart"/>
      <w:r>
        <w:t>statistics</w:t>
      </w:r>
      <w:proofErr w:type="spellEnd"/>
      <w:r>
        <w:t xml:space="preserve"> ? </w:t>
      </w:r>
      <w:r>
        <w:br/>
      </w:r>
      <w:proofErr w:type="spellStart"/>
      <w:r>
        <w:t>Parameters</w:t>
      </w:r>
      <w:proofErr w:type="spellEnd"/>
      <w:r>
        <w:t xml:space="preserve"> ?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Les laisser mais pas réellement utilisé. 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795B1847" w:rsidR="00A162DF" w:rsidRDefault="00A162DF" w:rsidP="00174C91">
      <w:proofErr w:type="spellStart"/>
      <w:r>
        <w:t>steadyStateTargetOption</w:t>
      </w:r>
      <w:proofErr w:type="spellEnd"/>
      <w:r>
        <w:t xml:space="preserve"> -&gt; </w:t>
      </w:r>
      <w:proofErr w:type="spellStart"/>
      <w:r>
        <w:t>atSteadyState</w:t>
      </w:r>
      <w:proofErr w:type="spellEnd"/>
      <w:r>
        <w:t xml:space="preserve"> </w:t>
      </w:r>
      <w:r w:rsidR="002216B8">
        <w:t xml:space="preserve">/ </w:t>
      </w:r>
      <w:proofErr w:type="spellStart"/>
      <w:r w:rsidR="002216B8">
        <w:t>withinTreatmentTimeRange</w:t>
      </w:r>
      <w:proofErr w:type="spellEnd"/>
      <w:r w:rsidR="002216B8">
        <w:t xml:space="preserve"> lequel quand ? </w:t>
      </w:r>
    </w:p>
    <w:p w14:paraId="3F51A4CF" w14:textId="5733D797" w:rsidR="00A162DF" w:rsidRDefault="000E5E37" w:rsidP="00174C91">
      <w:proofErr w:type="spellStart"/>
      <w:r>
        <w:t>targetExtractionOption</w:t>
      </w:r>
      <w:proofErr w:type="spellEnd"/>
      <w:r>
        <w:t xml:space="preserve"> -&gt; préférence</w:t>
      </w:r>
      <w:r w:rsidR="0025432C">
        <w:t xml:space="preserve"> dernier</w:t>
      </w:r>
      <w:r>
        <w:t>, mais je ne vois pas la différence avec l’avant dernier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Je ne </w:t>
      </w:r>
      <w:r w:rsidR="00EB39C7">
        <w:t>comprends</w:t>
      </w:r>
      <w:r w:rsidR="0025432C">
        <w:t xml:space="preserve"> pas les réponse sachant que dans le dosage il est dit</w:t>
      </w:r>
    </w:p>
    <w:p w14:paraId="141C6857" w14:textId="382985BA" w:rsidR="0025432C" w:rsidRDefault="0025432C" w:rsidP="00174C91">
      <w:r w:rsidRPr="0025432C"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B9C" w14:textId="7A2E1757" w:rsidR="00EB39C7" w:rsidRDefault="00EB39C7" w:rsidP="00174C91"/>
    <w:p w14:paraId="554259B8" w14:textId="6169EDE0" w:rsidR="00E142E4" w:rsidRDefault="00E142E4" w:rsidP="00174C91">
      <w:r>
        <w:t>Au final pour former le graphe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tucuxi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) </w:t>
      </w:r>
      <w:proofErr w:type="spellStart"/>
      <w:r>
        <w:t>Prediction</w:t>
      </w:r>
      <w:proofErr w:type="spellEnd"/>
      <w:r>
        <w:t xml:space="preserve"> trait, percentile trait et </w:t>
      </w:r>
      <w:proofErr w:type="spellStart"/>
      <w:r>
        <w:t>adjustment</w:t>
      </w:r>
      <w:proofErr w:type="spellEnd"/>
      <w:r>
        <w:t xml:space="preserve"> trait ? </w:t>
      </w:r>
    </w:p>
    <w:p w14:paraId="4F8B7AF8" w14:textId="77777777" w:rsidR="00EB39C7" w:rsidRDefault="00EB39C7" w:rsidP="00EB39C7">
      <w:r w:rsidRPr="00174C91">
        <w:rPr>
          <w:u w:val="single"/>
        </w:rPr>
        <w:t>Projet démo d’intégration/impression du graphique</w:t>
      </w:r>
      <w:r>
        <w:t>.</w:t>
      </w:r>
    </w:p>
    <w:p w14:paraId="34F96332" w14:textId="77777777" w:rsidR="00EB39C7" w:rsidRDefault="00EB39C7" w:rsidP="00EB39C7"/>
    <w:p w14:paraId="5E5F4C9B" w14:textId="77777777" w:rsidR="00EB39C7" w:rsidRPr="00174C91" w:rsidRDefault="00EB39C7" w:rsidP="00EB39C7">
      <w:pPr>
        <w:rPr>
          <w:u w:val="single"/>
        </w:rPr>
      </w:pPr>
      <w:r w:rsidRPr="00174C91">
        <w:rPr>
          <w:u w:val="single"/>
        </w:rPr>
        <w:t xml:space="preserve">Quelle était déjà le chemin dans </w:t>
      </w:r>
      <w:proofErr w:type="spellStart"/>
      <w:r w:rsidRPr="00174C91">
        <w:rPr>
          <w:u w:val="single"/>
        </w:rPr>
        <w:t>gitlab</w:t>
      </w:r>
      <w:proofErr w:type="spellEnd"/>
      <w:r w:rsidRPr="00174C91">
        <w:rPr>
          <w:u w:val="single"/>
        </w:rPr>
        <w:t xml:space="preserve"> (du gui) qui affichait le graphique.</w:t>
      </w:r>
    </w:p>
    <w:p w14:paraId="2825DC91" w14:textId="77777777" w:rsidR="00EB39C7" w:rsidRPr="00BC49F0" w:rsidRDefault="00EB39C7" w:rsidP="00174C91"/>
    <w:sectPr w:rsidR="00EB39C7" w:rsidRPr="00BC4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74C91"/>
    <w:rsid w:val="00183AC9"/>
    <w:rsid w:val="001D6CA4"/>
    <w:rsid w:val="001F79A8"/>
    <w:rsid w:val="00202643"/>
    <w:rsid w:val="002216B8"/>
    <w:rsid w:val="00244CF1"/>
    <w:rsid w:val="0025432C"/>
    <w:rsid w:val="002C24DC"/>
    <w:rsid w:val="002D6A97"/>
    <w:rsid w:val="00332C44"/>
    <w:rsid w:val="003500FE"/>
    <w:rsid w:val="003A2BE1"/>
    <w:rsid w:val="003B2F5A"/>
    <w:rsid w:val="003D1975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FE6"/>
    <w:rsid w:val="006819BA"/>
    <w:rsid w:val="006C5FA6"/>
    <w:rsid w:val="006D1027"/>
    <w:rsid w:val="007271FB"/>
    <w:rsid w:val="007327DB"/>
    <w:rsid w:val="00746FD7"/>
    <w:rsid w:val="0076730A"/>
    <w:rsid w:val="007C0FDA"/>
    <w:rsid w:val="007C78C4"/>
    <w:rsid w:val="007F6027"/>
    <w:rsid w:val="00812695"/>
    <w:rsid w:val="00821ED7"/>
    <w:rsid w:val="00823C2E"/>
    <w:rsid w:val="00855208"/>
    <w:rsid w:val="00861264"/>
    <w:rsid w:val="0086368C"/>
    <w:rsid w:val="00867E44"/>
    <w:rsid w:val="008D406F"/>
    <w:rsid w:val="008E4143"/>
    <w:rsid w:val="00904FEF"/>
    <w:rsid w:val="00960649"/>
    <w:rsid w:val="0096120D"/>
    <w:rsid w:val="009B0465"/>
    <w:rsid w:val="009D7CDE"/>
    <w:rsid w:val="009E0025"/>
    <w:rsid w:val="00A038D7"/>
    <w:rsid w:val="00A162DF"/>
    <w:rsid w:val="00A732E5"/>
    <w:rsid w:val="00A954B6"/>
    <w:rsid w:val="00AC05E2"/>
    <w:rsid w:val="00B454DB"/>
    <w:rsid w:val="00B857DF"/>
    <w:rsid w:val="00BA2994"/>
    <w:rsid w:val="00BB37F0"/>
    <w:rsid w:val="00BC49F0"/>
    <w:rsid w:val="00C30299"/>
    <w:rsid w:val="00C66B06"/>
    <w:rsid w:val="00CA790A"/>
    <w:rsid w:val="00D525D0"/>
    <w:rsid w:val="00D53C36"/>
    <w:rsid w:val="00D75BF5"/>
    <w:rsid w:val="00D8070E"/>
    <w:rsid w:val="00D913AE"/>
    <w:rsid w:val="00D91534"/>
    <w:rsid w:val="00E142E4"/>
    <w:rsid w:val="00EB39C7"/>
    <w:rsid w:val="00EC59F5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13</cp:revision>
  <dcterms:created xsi:type="dcterms:W3CDTF">2022-03-10T10:08:00Z</dcterms:created>
  <dcterms:modified xsi:type="dcterms:W3CDTF">2022-04-08T10:36:00Z</dcterms:modified>
</cp:coreProperties>
</file>