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454FDD4A" w:rsidR="00640A57" w:rsidRPr="000D68AA" w:rsidRDefault="00ED1DE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642A6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03.12.2020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ED1DE2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454FDD4A" w:rsidR="00640A57" w:rsidRPr="000D68AA" w:rsidRDefault="00ED1DE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642A6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03.12.2020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ED1DE2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proofErr w:type="gramStart"/>
            <w:r w:rsidRPr="00182A4B">
              <w:rPr>
                <w:b/>
                <w:bCs/>
              </w:rPr>
              <w:t>prg</w:t>
            </w:r>
            <w:proofErr w:type="gramEnd"/>
            <w:r w:rsidRPr="00182A4B">
              <w:t xml:space="preserve"> → { </w:t>
            </w:r>
            <w:proofErr w:type="spellStart"/>
            <w:r w:rsidRPr="00182A4B">
              <w:t>def</w:t>
            </w:r>
            <w:proofErr w:type="spellEnd"/>
            <w:r w:rsidRPr="00182A4B">
              <w:t xml:space="preserve"> } </w:t>
            </w:r>
            <w:proofErr w:type="spellStart"/>
            <w:r w:rsidRPr="00182A4B">
              <w:t>expr</w:t>
            </w:r>
            <w:proofErr w:type="spellEnd"/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proofErr w:type="spellStart"/>
            <w:proofErr w:type="gramStart"/>
            <w:r w:rsidRPr="00182A4B">
              <w:rPr>
                <w:b/>
                <w:bCs/>
              </w:rPr>
              <w:t>def</w:t>
            </w:r>
            <w:proofErr w:type="spellEnd"/>
            <w:proofErr w:type="gramEnd"/>
            <w:r w:rsidRPr="00182A4B">
              <w:t xml:space="preserve"> → </w:t>
            </w:r>
            <w:proofErr w:type="spellStart"/>
            <w:r w:rsidRPr="00182A4B">
              <w:rPr>
                <w:b/>
                <w:bCs/>
              </w:rPr>
              <w:t>define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funName</w:t>
            </w:r>
            <w:proofErr w:type="spellEnd"/>
            <w:r w:rsidRPr="00182A4B">
              <w:t xml:space="preserve"> { var } = </w:t>
            </w:r>
            <w:proofErr w:type="spellStart"/>
            <w:r w:rsidRPr="00182A4B">
              <w:t>expr</w:t>
            </w:r>
            <w:proofErr w:type="spellEnd"/>
          </w:p>
          <w:p w14:paraId="1D6A43F7" w14:textId="77777777" w:rsidR="009A240C" w:rsidRPr="00182A4B" w:rsidRDefault="009A240C" w:rsidP="009A240C"/>
          <w:p w14:paraId="1F1F415A" w14:textId="10BE0D03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expr</w:t>
            </w:r>
            <w:proofErr w:type="spellEnd"/>
            <w:proofErr w:type="gramEnd"/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proofErr w:type="spellStart"/>
            <w:r w:rsidRPr="00182A4B">
              <w:rPr>
                <w:b/>
                <w:bCs/>
              </w:rPr>
              <w:t>then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proofErr w:type="spellStart"/>
            <w:r w:rsidRPr="00182A4B">
              <w:rPr>
                <w:b/>
                <w:bCs/>
              </w:rPr>
              <w:t>else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(</w:t>
            </w:r>
            <w:r w:rsidRPr="00642A6F">
              <w:rPr>
                <w:b/>
                <w:bCs/>
              </w:rPr>
              <w:t>+</w:t>
            </w:r>
            <w:r w:rsidRPr="00182A4B">
              <w:t>|</w:t>
            </w:r>
            <w:r w:rsidRPr="00642A6F">
              <w:rPr>
                <w:b/>
                <w:bCs/>
              </w:rPr>
              <w:t>-</w:t>
            </w:r>
            <w:r w:rsidRPr="00182A4B">
              <w:t>|</w:t>
            </w:r>
            <w:r w:rsidRPr="00642A6F">
              <w:rPr>
                <w:b/>
                <w:bCs/>
              </w:rPr>
              <w:t>*</w:t>
            </w:r>
            <w:r w:rsidRPr="00182A4B">
              <w:t>|</w:t>
            </w:r>
            <w:r w:rsidRPr="00642A6F">
              <w:rPr>
                <w:b/>
                <w:bCs/>
              </w:rPr>
              <w:t>/</w:t>
            </w:r>
            <w:r w:rsidRPr="00182A4B">
              <w:t>|</w:t>
            </w:r>
            <w:r w:rsidRPr="00642A6F">
              <w:rPr>
                <w:b/>
                <w:bCs/>
              </w:rPr>
              <w:t>&lt;</w:t>
            </w:r>
            <w:r w:rsidRPr="00182A4B">
              <w:t>|</w:t>
            </w:r>
            <w:r w:rsidRPr="00642A6F">
              <w:rPr>
                <w:b/>
                <w:bCs/>
              </w:rPr>
              <w:t>#</w:t>
            </w:r>
            <w:r w:rsidRPr="00182A4B">
              <w:t xml:space="preserve">)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  <w:r w:rsidRPr="00182A4B">
              <w:br/>
              <w:t xml:space="preserve"> | </w:t>
            </w:r>
            <w:proofErr w:type="spellStart"/>
            <w:r w:rsidRPr="00182A4B">
              <w:t>integer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varName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funName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{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} </w:t>
            </w:r>
            <w:r w:rsidRPr="00182A4B">
              <w:rPr>
                <w:b/>
                <w:bCs/>
              </w:rPr>
              <w:t>)</w:t>
            </w:r>
            <w:r w:rsidRPr="00182A4B">
              <w:rPr>
                <w:b/>
                <w:bCs/>
              </w:rPr>
              <w:br/>
            </w:r>
            <w:r w:rsidRPr="00182A4B"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proofErr w:type="spellStart"/>
            <w:proofErr w:type="gramStart"/>
            <w:r w:rsidRPr="00182A4B">
              <w:rPr>
                <w:b/>
                <w:bCs/>
              </w:rPr>
              <w:t>varName</w:t>
            </w:r>
            <w:proofErr w:type="spellEnd"/>
            <w:proofErr w:type="gramEnd"/>
            <w:r w:rsidRPr="00182A4B">
              <w:rPr>
                <w:b/>
                <w:bCs/>
              </w:rPr>
              <w:t xml:space="preserve"> </w:t>
            </w:r>
            <w:r w:rsidRPr="00182A4B">
              <w:t>-&gt; (</w:t>
            </w:r>
            <w:proofErr w:type="spellStart"/>
            <w:r w:rsidRPr="00182A4B">
              <w:t>a</w:t>
            </w:r>
            <w:proofErr w:type="spellEnd"/>
            <w:r w:rsidRPr="00182A4B">
              <w:t>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proofErr w:type="spellStart"/>
            <w:proofErr w:type="gramStart"/>
            <w:r w:rsidRPr="00182A4B">
              <w:rPr>
                <w:b/>
                <w:bCs/>
              </w:rPr>
              <w:t>funName</w:t>
            </w:r>
            <w:proofErr w:type="spellEnd"/>
            <w:proofErr w:type="gramEnd"/>
            <w:r w:rsidRPr="00182A4B">
              <w:rPr>
                <w:b/>
                <w:bCs/>
              </w:rPr>
              <w:t xml:space="preserve">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integer</w:t>
            </w:r>
            <w:proofErr w:type="spellEnd"/>
            <w:proofErr w:type="gramEnd"/>
            <w:r w:rsidRPr="00182A4B">
              <w:rPr>
                <w:b/>
                <w:bCs/>
              </w:rPr>
              <w:t xml:space="preserve">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proofErr w:type="gramStart"/>
            <w:r w:rsidRPr="00182A4B">
              <w:rPr>
                <w:b/>
                <w:bCs/>
              </w:rPr>
              <w:t>prg</w:t>
            </w:r>
            <w:proofErr w:type="gramEnd"/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Def</w:t>
            </w:r>
            <w:proofErr w:type="spellEnd"/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Expr</w:t>
            </w:r>
            <w:proofErr w:type="spellEnd"/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VarName</w:t>
            </w:r>
            <w:proofErr w:type="spellEnd"/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funName</w:t>
            </w:r>
            <w:proofErr w:type="spellEnd"/>
            <w:proofErr w:type="gramEnd"/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proofErr w:type="gramStart"/>
            <w:r w:rsidRPr="00182A4B">
              <w:rPr>
                <w:b/>
                <w:bCs/>
              </w:rPr>
              <w:t>integer</w:t>
            </w:r>
            <w:proofErr w:type="spellEnd"/>
            <w:proofErr w:type="gramEnd"/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</w:t>
                  </w:r>
                  <w:proofErr w:type="gramStart"/>
                  <w:r w:rsidRPr="00182A4B">
                    <w:t>a</w:t>
                  </w:r>
                  <w:proofErr w:type="gramEnd"/>
                  <w:r w:rsidRPr="00182A4B">
                    <w:t>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proofErr w:type="gramStart"/>
                  <w:r w:rsidRPr="00182A4B">
                    <w:t>let</w:t>
                  </w:r>
                  <w:proofErr w:type="gramEnd"/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</w:r>
                  <w:proofErr w:type="spellStart"/>
                  <w:r w:rsidRPr="00182A4B">
                    <w:t>then</w:t>
                  </w:r>
                  <w:proofErr w:type="spellEnd"/>
                  <w:r w:rsidRPr="00182A4B">
                    <w:br/>
                  </w:r>
                  <w:proofErr w:type="spellStart"/>
                  <w:r w:rsidRPr="00182A4B">
                    <w:t>else</w:t>
                  </w:r>
                  <w:proofErr w:type="spellEnd"/>
                  <w:r w:rsidRPr="00182A4B">
                    <w:br/>
                  </w:r>
                  <w:proofErr w:type="spellStart"/>
                  <w:r w:rsidRPr="00182A4B">
                    <w:t>define</w:t>
                  </w:r>
                  <w:proofErr w:type="spellEnd"/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7320AAC4" w14:textId="7B01E216" w:rsidR="009A240C" w:rsidRPr="00182A4B" w:rsidRDefault="009A240C" w:rsidP="009A240C"/>
    <w:p w14:paraId="124B599C" w14:textId="7A160A1C" w:rsidR="00182A4B" w:rsidRDefault="00182A4B" w:rsidP="00182A4B">
      <w:pPr>
        <w:pStyle w:val="Titre1"/>
      </w:pPr>
      <w:r w:rsidRPr="00182A4B">
        <w:t>Lexèmes</w:t>
      </w:r>
    </w:p>
    <w:p w14:paraId="3A8EC5B0" w14:textId="60E6615A" w:rsidR="00393FE5" w:rsidRPr="00393FE5" w:rsidRDefault="00393FE5" w:rsidP="00393FE5">
      <w:r>
        <w:t>Pour que le lexer puisse analyser le contenu des programmes nous avons défini les tokens suivants :</w:t>
      </w:r>
    </w:p>
    <w:p w14:paraId="220F51D3" w14:textId="522F50D1" w:rsidR="00182A4B" w:rsidRDefault="00182A4B" w:rsidP="00182A4B">
      <w:pPr>
        <w:tabs>
          <w:tab w:val="left" w:pos="2268"/>
          <w:tab w:val="left" w:pos="4536"/>
        </w:tabs>
        <w:rPr>
          <w:color w:val="339933"/>
        </w:rPr>
      </w:pPr>
      <w:proofErr w:type="spellStart"/>
      <w:r w:rsidRPr="00182A4B">
        <w:t>tokens</w:t>
      </w:r>
      <w:proofErr w:type="spellEnd"/>
      <w:r w:rsidRPr="00182A4B">
        <w:t xml:space="preserve"> :-</w:t>
      </w:r>
      <w:r w:rsidRPr="00182A4B">
        <w:br/>
        <w:t xml:space="preserve"> $white+ ;</w:t>
      </w:r>
      <w:r w:rsidRPr="00182A4B">
        <w:br/>
        <w:t xml:space="preserve"> let</w:t>
      </w:r>
      <w:r w:rsidRPr="00182A4B">
        <w:tab/>
        <w:t xml:space="preserve">{ \s -&gt; </w:t>
      </w:r>
      <w:proofErr w:type="spellStart"/>
      <w:r w:rsidRPr="00182A4B">
        <w:t>TLet</w:t>
      </w:r>
      <w:proofErr w:type="spellEnd"/>
      <w:r w:rsidRPr="00182A4B">
        <w:t xml:space="preserve"> }</w:t>
      </w:r>
      <w:r w:rsidRPr="00182A4B">
        <w:tab/>
      </w:r>
      <w:r w:rsidRPr="00182A4B">
        <w:rPr>
          <w:color w:val="339933"/>
        </w:rPr>
        <w:t>-- Symbole let</w:t>
      </w:r>
      <w:r w:rsidRPr="00182A4B">
        <w:rPr>
          <w:color w:val="339933"/>
        </w:rPr>
        <w:br/>
      </w:r>
      <w:r w:rsidRPr="00182A4B">
        <w:t xml:space="preserve"> in</w:t>
      </w:r>
      <w:r w:rsidRPr="00182A4B">
        <w:tab/>
        <w:t xml:space="preserve">{ \s -&gt; </w:t>
      </w:r>
      <w:proofErr w:type="spellStart"/>
      <w:r w:rsidRPr="00182A4B">
        <w:t>TIn</w:t>
      </w:r>
      <w:proofErr w:type="spellEnd"/>
      <w:r w:rsidRPr="00182A4B">
        <w:t xml:space="preserve"> }</w:t>
      </w:r>
      <w:r w:rsidRPr="00182A4B">
        <w:tab/>
      </w:r>
      <w:r w:rsidRPr="00182A4B">
        <w:rPr>
          <w:color w:val="339933"/>
        </w:rPr>
        <w:t>-- Symbole in</w:t>
      </w:r>
      <w:r w:rsidRPr="00182A4B">
        <w:rPr>
          <w:color w:val="339933"/>
        </w:rPr>
        <w:br/>
      </w:r>
      <w:r w:rsidRPr="00182A4B">
        <w:t xml:space="preserve"> if</w:t>
      </w:r>
      <w:r w:rsidRPr="00182A4B">
        <w:tab/>
        <w:t xml:space="preserve">{ \s -&gt; </w:t>
      </w:r>
      <w:proofErr w:type="spellStart"/>
      <w:r w:rsidRPr="00182A4B">
        <w:t>TIf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>-- Symbole if</w:t>
      </w:r>
      <w:r w:rsidRPr="00182A4B">
        <w:rPr>
          <w:color w:val="339933"/>
        </w:rPr>
        <w:br/>
      </w:r>
      <w:r w:rsidRPr="00182A4B">
        <w:t xml:space="preserve"> </w:t>
      </w:r>
      <w:proofErr w:type="spellStart"/>
      <w:r w:rsidRPr="00182A4B">
        <w:t>then</w:t>
      </w:r>
      <w:proofErr w:type="spellEnd"/>
      <w:r w:rsidRPr="00182A4B">
        <w:tab/>
        <w:t xml:space="preserve">{ \s -&gt; </w:t>
      </w:r>
      <w:proofErr w:type="spellStart"/>
      <w:r w:rsidRPr="00182A4B">
        <w:t>TThen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 xml:space="preserve">-- Symbole </w:t>
      </w:r>
      <w:proofErr w:type="spellStart"/>
      <w:r w:rsidRPr="00182A4B">
        <w:rPr>
          <w:color w:val="339933"/>
        </w:rPr>
        <w:t>then</w:t>
      </w:r>
      <w:proofErr w:type="spellEnd"/>
      <w:r w:rsidRPr="00182A4B">
        <w:rPr>
          <w:color w:val="339933"/>
        </w:rPr>
        <w:br/>
      </w:r>
      <w:r w:rsidRPr="00182A4B">
        <w:t xml:space="preserve"> </w:t>
      </w:r>
      <w:proofErr w:type="spellStart"/>
      <w:r w:rsidRPr="00182A4B">
        <w:t>else</w:t>
      </w:r>
      <w:proofErr w:type="spellEnd"/>
      <w:r w:rsidRPr="00182A4B">
        <w:tab/>
        <w:t xml:space="preserve">{ \s -&gt; </w:t>
      </w:r>
      <w:proofErr w:type="spellStart"/>
      <w:r w:rsidRPr="00182A4B">
        <w:t>TElse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 xml:space="preserve">-- Symbole </w:t>
      </w:r>
      <w:proofErr w:type="spellStart"/>
      <w:r w:rsidRPr="00182A4B">
        <w:rPr>
          <w:color w:val="339933"/>
        </w:rPr>
        <w:t>else</w:t>
      </w:r>
      <w:proofErr w:type="spellEnd"/>
      <w:r w:rsidRPr="00182A4B">
        <w:rPr>
          <w:color w:val="339933"/>
        </w:rPr>
        <w:br/>
      </w:r>
      <w:r w:rsidRPr="00182A4B">
        <w:t xml:space="preserve"> </w:t>
      </w:r>
      <w:proofErr w:type="spellStart"/>
      <w:r w:rsidRPr="00182A4B">
        <w:t>define</w:t>
      </w:r>
      <w:proofErr w:type="spellEnd"/>
      <w:r w:rsidRPr="00182A4B">
        <w:tab/>
        <w:t xml:space="preserve">{ \s -&gt; </w:t>
      </w:r>
      <w:proofErr w:type="spellStart"/>
      <w:r w:rsidRPr="00182A4B">
        <w:t>TDefine</w:t>
      </w:r>
      <w:proofErr w:type="spellEnd"/>
      <w:r w:rsidRPr="00182A4B">
        <w:t>}</w:t>
      </w:r>
      <w:r w:rsidRPr="00182A4B">
        <w:tab/>
      </w:r>
      <w:r w:rsidRPr="00182A4B">
        <w:rPr>
          <w:color w:val="339933"/>
        </w:rPr>
        <w:t xml:space="preserve">-- Symbole </w:t>
      </w:r>
      <w:proofErr w:type="spellStart"/>
      <w:r w:rsidRPr="00182A4B">
        <w:rPr>
          <w:color w:val="339933"/>
        </w:rPr>
        <w:t>define</w:t>
      </w:r>
      <w:proofErr w:type="spellEnd"/>
      <w:r w:rsidRPr="00182A4B">
        <w:rPr>
          <w:color w:val="339933"/>
        </w:rPr>
        <w:br/>
      </w:r>
      <w:r w:rsidRPr="00182A4B">
        <w:t xml:space="preserve"> $digit+</w:t>
      </w:r>
      <w:r w:rsidRPr="00182A4B">
        <w:tab/>
        <w:t xml:space="preserve">{ \s -&gt; </w:t>
      </w:r>
      <w:proofErr w:type="spellStart"/>
      <w:r w:rsidRPr="00182A4B">
        <w:t>TInt</w:t>
      </w:r>
      <w:proofErr w:type="spellEnd"/>
      <w:r w:rsidRPr="00182A4B">
        <w:t xml:space="preserve"> (</w:t>
      </w:r>
      <w:proofErr w:type="spellStart"/>
      <w:r w:rsidRPr="00182A4B">
        <w:t>read</w:t>
      </w:r>
      <w:proofErr w:type="spellEnd"/>
      <w:r w:rsidRPr="00182A4B">
        <w:t xml:space="preserve"> s) }</w:t>
      </w:r>
      <w:r w:rsidRPr="00182A4B">
        <w:tab/>
      </w:r>
      <w:r w:rsidRPr="00182A4B">
        <w:rPr>
          <w:color w:val="339933"/>
        </w:rPr>
        <w:t>-- Nombres entiers positifs</w:t>
      </w:r>
      <w:r w:rsidRPr="00182A4B">
        <w:rPr>
          <w:color w:val="339933"/>
        </w:rPr>
        <w:br/>
      </w:r>
      <w:r w:rsidRPr="00182A4B">
        <w:t xml:space="preserve"> [\=\+\*\-\/\&lt;\#]</w:t>
      </w:r>
      <w:r w:rsidRPr="00182A4B">
        <w:tab/>
        <w:t xml:space="preserve">{ \s -&gt; </w:t>
      </w:r>
      <w:proofErr w:type="spellStart"/>
      <w:r w:rsidRPr="00182A4B">
        <w:t>TSym</w:t>
      </w:r>
      <w:proofErr w:type="spellEnd"/>
      <w:r w:rsidRPr="00182A4B">
        <w:t xml:space="preserve"> (</w:t>
      </w:r>
      <w:proofErr w:type="spellStart"/>
      <w:r w:rsidRPr="00182A4B">
        <w:t>head</w:t>
      </w:r>
      <w:proofErr w:type="spellEnd"/>
      <w:r w:rsidRPr="00182A4B">
        <w:t xml:space="preserve"> s) }</w:t>
      </w:r>
      <w:r>
        <w:tab/>
      </w:r>
      <w:r w:rsidRPr="00182A4B">
        <w:rPr>
          <w:color w:val="339933"/>
        </w:rPr>
        <w:t>-- Symboles</w:t>
      </w:r>
      <w:r w:rsidRPr="00182A4B">
        <w:rPr>
          <w:color w:val="339933"/>
        </w:rPr>
        <w:br/>
      </w:r>
      <w:r w:rsidRPr="00182A4B">
        <w:t xml:space="preserve"> $</w:t>
      </w:r>
      <w:proofErr w:type="spellStart"/>
      <w:r w:rsidRPr="00182A4B">
        <w:t>low</w:t>
      </w:r>
      <w:proofErr w:type="spellEnd"/>
      <w:r w:rsidRPr="00182A4B">
        <w:t>{1}$</w:t>
      </w:r>
      <w:proofErr w:type="spellStart"/>
      <w:r w:rsidRPr="00182A4B">
        <w:t>alphaNum</w:t>
      </w:r>
      <w:proofErr w:type="spellEnd"/>
      <w:r w:rsidRPr="00182A4B">
        <w:t>*</w:t>
      </w:r>
      <w:r w:rsidRPr="00182A4B">
        <w:tab/>
        <w:t xml:space="preserve">{ \s -&gt; </w:t>
      </w:r>
      <w:proofErr w:type="spellStart"/>
      <w:r w:rsidRPr="00182A4B">
        <w:t>TVarName</w:t>
      </w:r>
      <w:proofErr w:type="spellEnd"/>
      <w:r w:rsidRPr="00182A4B">
        <w:t xml:space="preserve"> s }</w:t>
      </w:r>
      <w:r>
        <w:tab/>
      </w:r>
      <w:r w:rsidRPr="00182A4B">
        <w:rPr>
          <w:color w:val="339933"/>
        </w:rPr>
        <w:t>-- Noms de variables</w:t>
      </w:r>
      <w:r w:rsidRPr="00182A4B">
        <w:rPr>
          <w:color w:val="339933"/>
        </w:rPr>
        <w:br/>
      </w:r>
      <w:r w:rsidRPr="00182A4B">
        <w:t xml:space="preserve"> $up{1}$</w:t>
      </w:r>
      <w:proofErr w:type="spellStart"/>
      <w:r w:rsidRPr="00182A4B">
        <w:t>alphaNum</w:t>
      </w:r>
      <w:proofErr w:type="spellEnd"/>
      <w:r w:rsidRPr="00182A4B">
        <w:t>*</w:t>
      </w:r>
      <w:r w:rsidRPr="00182A4B">
        <w:tab/>
        <w:t xml:space="preserve">{ \s -&gt; </w:t>
      </w:r>
      <w:proofErr w:type="spellStart"/>
      <w:r w:rsidRPr="00182A4B">
        <w:t>TFunName</w:t>
      </w:r>
      <w:proofErr w:type="spellEnd"/>
      <w:r w:rsidRPr="00182A4B">
        <w:t xml:space="preserve"> s}</w:t>
      </w:r>
      <w:r>
        <w:tab/>
      </w:r>
      <w:r w:rsidRPr="00182A4B">
        <w:rPr>
          <w:color w:val="339933"/>
        </w:rPr>
        <w:t>-- Noms de fonctions</w:t>
      </w:r>
      <w:r w:rsidRPr="00182A4B">
        <w:rPr>
          <w:color w:val="339933"/>
        </w:rPr>
        <w:br/>
      </w:r>
      <w:r w:rsidRPr="00182A4B">
        <w:t xml:space="preserve"> [\(]</w:t>
      </w:r>
      <w:r w:rsidRPr="00182A4B">
        <w:tab/>
        <w:t xml:space="preserve">{ \s -&gt; </w:t>
      </w:r>
      <w:proofErr w:type="spellStart"/>
      <w:r w:rsidRPr="00182A4B">
        <w:t>TOp</w:t>
      </w:r>
      <w:proofErr w:type="spellEnd"/>
      <w:r w:rsidRPr="00182A4B">
        <w:t>}</w:t>
      </w:r>
      <w:r>
        <w:tab/>
      </w:r>
      <w:r w:rsidRPr="00182A4B">
        <w:rPr>
          <w:color w:val="339933"/>
        </w:rPr>
        <w:t>-- Parenthèse ouvrante</w:t>
      </w:r>
      <w:r w:rsidRPr="00182A4B">
        <w:rPr>
          <w:color w:val="339933"/>
        </w:rPr>
        <w:br/>
      </w:r>
      <w:r w:rsidRPr="00182A4B">
        <w:t xml:space="preserve"> [\)]</w:t>
      </w:r>
      <w:r w:rsidRPr="00182A4B">
        <w:tab/>
        <w:t xml:space="preserve">{ \s -&gt; </w:t>
      </w:r>
      <w:proofErr w:type="spellStart"/>
      <w:r w:rsidRPr="00182A4B">
        <w:t>TCp</w:t>
      </w:r>
      <w:proofErr w:type="spellEnd"/>
      <w:r w:rsidRPr="00182A4B">
        <w:t>}</w:t>
      </w:r>
      <w:r>
        <w:tab/>
      </w:r>
      <w:r w:rsidRPr="00182A4B">
        <w:rPr>
          <w:color w:val="339933"/>
        </w:rPr>
        <w:t>-- Parenthèse fermante</w:t>
      </w:r>
    </w:p>
    <w:p w14:paraId="37B2181B" w14:textId="76FE785C" w:rsidR="00E50837" w:rsidRPr="00E50837" w:rsidRDefault="00E50837" w:rsidP="00182A4B">
      <w:pPr>
        <w:tabs>
          <w:tab w:val="left" w:pos="2268"/>
          <w:tab w:val="left" w:pos="4536"/>
        </w:tabs>
      </w:pPr>
      <w:r>
        <w:t>Nous avons ensuite implémenté le parser conformément à la grammaire démontrée et aux tokens.</w:t>
      </w:r>
      <w:r>
        <w:br/>
        <w:t xml:space="preserve">(C.F </w:t>
      </w:r>
      <w:proofErr w:type="spellStart"/>
      <w:r>
        <w:t>Parser.y</w:t>
      </w:r>
      <w:proofErr w:type="spellEnd"/>
      <w:r>
        <w:t>)</w:t>
      </w:r>
    </w:p>
    <w:p w14:paraId="544DDFE2" w14:textId="4633EA5F" w:rsidR="00E50837" w:rsidRPr="00E50837" w:rsidRDefault="00E50837" w:rsidP="00E50837">
      <w:pPr>
        <w:pStyle w:val="Titre1"/>
        <w:rPr>
          <w:color w:val="auto"/>
        </w:rPr>
      </w:pPr>
      <w:r>
        <w:t>Tests</w:t>
      </w:r>
    </w:p>
    <w:sectPr w:rsidR="00E50837" w:rsidRPr="00E50837" w:rsidSect="00BF704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56E07" w14:textId="77777777" w:rsidR="00ED1DE2" w:rsidRDefault="00ED1DE2" w:rsidP="00FE1E6D">
      <w:pPr>
        <w:spacing w:after="0" w:line="240" w:lineRule="auto"/>
      </w:pPr>
      <w:r>
        <w:separator/>
      </w:r>
    </w:p>
  </w:endnote>
  <w:endnote w:type="continuationSeparator" w:id="0">
    <w:p w14:paraId="5385375C" w14:textId="77777777" w:rsidR="00ED1DE2" w:rsidRDefault="00ED1DE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6976129D" w:rsidR="00640A57" w:rsidRDefault="00ED1DE2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642A6F">
      <w:rPr>
        <w:noProof/>
      </w:rPr>
      <w:t>03.12.2020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2C48C" w14:textId="77777777" w:rsidR="00ED1DE2" w:rsidRDefault="00ED1DE2" w:rsidP="00FE1E6D">
      <w:pPr>
        <w:spacing w:after="0" w:line="240" w:lineRule="auto"/>
      </w:pPr>
      <w:r>
        <w:separator/>
      </w:r>
    </w:p>
  </w:footnote>
  <w:footnote w:type="continuationSeparator" w:id="0">
    <w:p w14:paraId="4031EBFF" w14:textId="77777777" w:rsidR="00ED1DE2" w:rsidRDefault="00ED1DE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104F1D"/>
    <w:rsid w:val="00105E0C"/>
    <w:rsid w:val="00130704"/>
    <w:rsid w:val="00182A4B"/>
    <w:rsid w:val="00193692"/>
    <w:rsid w:val="001F2567"/>
    <w:rsid w:val="00291373"/>
    <w:rsid w:val="002941DF"/>
    <w:rsid w:val="002A3712"/>
    <w:rsid w:val="002C673F"/>
    <w:rsid w:val="00325F09"/>
    <w:rsid w:val="00393FE5"/>
    <w:rsid w:val="003B796B"/>
    <w:rsid w:val="0044762D"/>
    <w:rsid w:val="00463CBC"/>
    <w:rsid w:val="00485730"/>
    <w:rsid w:val="00572C17"/>
    <w:rsid w:val="005A576B"/>
    <w:rsid w:val="00640A57"/>
    <w:rsid w:val="0064248A"/>
    <w:rsid w:val="00642A6F"/>
    <w:rsid w:val="006B1095"/>
    <w:rsid w:val="00741489"/>
    <w:rsid w:val="00754A9D"/>
    <w:rsid w:val="007B57A8"/>
    <w:rsid w:val="007D12F9"/>
    <w:rsid w:val="00816000"/>
    <w:rsid w:val="008F7894"/>
    <w:rsid w:val="00943654"/>
    <w:rsid w:val="009573E4"/>
    <w:rsid w:val="00972839"/>
    <w:rsid w:val="0099629F"/>
    <w:rsid w:val="009A240C"/>
    <w:rsid w:val="009C3625"/>
    <w:rsid w:val="00A34D2D"/>
    <w:rsid w:val="00A71D38"/>
    <w:rsid w:val="00AD2302"/>
    <w:rsid w:val="00BE1E0C"/>
    <w:rsid w:val="00BE6373"/>
    <w:rsid w:val="00BF704E"/>
    <w:rsid w:val="00C639BF"/>
    <w:rsid w:val="00CE47FF"/>
    <w:rsid w:val="00D23BE1"/>
    <w:rsid w:val="00D40FF9"/>
    <w:rsid w:val="00DF23D0"/>
    <w:rsid w:val="00E07783"/>
    <w:rsid w:val="00E33BCC"/>
    <w:rsid w:val="00E50837"/>
    <w:rsid w:val="00E84D66"/>
    <w:rsid w:val="00EB328D"/>
    <w:rsid w:val="00ED1DE2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446B8B"/>
    <w:rsid w:val="005B76AF"/>
    <w:rsid w:val="00D95F6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 Herzig</cp:lastModifiedBy>
  <cp:revision>48</cp:revision>
  <dcterms:created xsi:type="dcterms:W3CDTF">2020-02-19T07:45:00Z</dcterms:created>
  <dcterms:modified xsi:type="dcterms:W3CDTF">2020-12-03T15:12:00Z</dcterms:modified>
  <cp:category>PLP</cp:category>
</cp:coreProperties>
</file>