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80" w:before="0"/>
        <w:jc w:val="center"/>
      </w:pPr>
      <w:r>
        <w:rPr>
          <w:rFonts w:ascii="Calibri" w:cs="Calibri" w:eastAsia="Calibri" w:hAnsi="Calibri"/>
          <w:b/>
          <w:bCs/>
          <w:color w:val="1A1A2E"/>
          <w:sz w:val="72"/>
          <w:szCs w:val="72"/>
        </w:rPr>
        <w:t xml:space="preserve">EduGraph AI</w:t>
      </w:r>
    </w:p>
    <w:p>
      <w:pPr>
        <w:spacing w:after="60" w:before="0"/>
        <w:jc w:val="center"/>
      </w:pPr>
      <w:r>
        <w:rPr>
          <w:rFonts w:ascii="Calibri" w:cs="Calibri" w:eastAsia="Calibri" w:hAnsi="Calibri"/>
          <w:i/>
          <w:iCs/>
          <w:color w:val="2E6FAD"/>
          <w:sz w:val="34"/>
          <w:szCs w:val="34"/>
        </w:rPr>
        <w:t xml:space="preserve">Full System Architecture Document</w:t>
      </w:r>
    </w:p>
    <w:p>
      <w:pPr>
        <w:spacing w:after="40" w:before="40"/>
        <w:jc w:val="center"/>
      </w:pPr>
      <w:r>
        <w:rPr>
          <w:color w:val="6B7280"/>
          <w:sz w:val="24"/>
          <w:szCs w:val="24"/>
        </w:rPr>
        <w:t xml:space="preserve">National Educational Intelligence Platform — Ethiopia</w:t>
      </w:r>
    </w:p>
    <w:p>
      <w:pPr>
        <w:pBdr>
          <w:bottom w:val="single" w:color="2E7D52" w:sz="12"/>
        </w:pBdr>
        <w:spacing w:after="80" w:before="80"/>
      </w:pPr>
    </w:p>
    <w:p>
      <w:pPr>
        <w:spacing w:after="60" w:before="60"/>
        <w:jc w:val="center"/>
      </w:pPr>
      <w:r>
        <w:rPr>
          <w:color w:val="6B7280"/>
          <w:sz w:val="20"/>
          <w:szCs w:val="20"/>
        </w:rPr>
        <w:t xml:space="preserve">Version 1.0  ·  June 2026  ·  AASTU Innovation Program</w:t>
      </w:r>
    </w:p>
    <w:p>
      <w:pPr>
        <w:spacing w:after="0" w:before="40"/>
        <w:jc w:val="center"/>
      </w:pPr>
      <w:r>
        <w:rPr>
          <w:b/>
          <w:bCs/>
          <w:color w:val="B03A2E"/>
          <w:sz w:val="20"/>
          <w:szCs w:val="20"/>
        </w:rPr>
        <w:t xml:space="preserve">CONFIDENTIAL — For internal and government review only</w:t>
      </w:r>
    </w:p>
    <w:p>
      <w:pPr>
        <w:spacing w:after="60" w:before="60"/>
      </w:pPr>
    </w:p>
    <w:p>
      <w:pPr>
        <w:spacing w:after="60" w:before="60"/>
      </w:pPr>
    </w:p>
    <w:p>
      <w:pPr>
        <w:spacing w:after="60" w:before="60"/>
      </w:pPr>
    </w:p>
    <w:p>
      <w:pPr>
        <w:spacing w:after="60" w:before="60"/>
      </w:pPr>
    </w:p>
    <w:p>
      <w:pPr>
        <w:spacing w:after="60" w:before="60"/>
      </w:pPr>
    </w:p>
    <w:p>
      <w:pPr>
        <w:spacing w:after="60" w:before="60"/>
      </w:pPr>
    </w:p>
    <w:p>
      <w:r>
        <w:br w:type="page"/>
      </w:r>
    </w:p>
    <w:p>
      <w:pPr>
        <w:pStyle w:val="Heading1"/>
        <w:pBdr>
          <w:bottom w:val="single" w:color="2E7D52" w:sz="8"/>
        </w:pBdr>
        <w:spacing w:after="160" w:before="400"/>
      </w:pPr>
      <w: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01 — Document Overview</w:t>
            </w:r>
          </w:p>
          <w:p>
            <w:pPr>
              <w:spacing w:after="80" w:before="40"/>
            </w:pPr>
            <w:r>
              <w:rPr>
                <w:i/>
                <w:iCs/>
                <w:color w:val="B3D4FF"/>
                <w:sz w:val="20"/>
                <w:szCs w:val="20"/>
              </w:rPr>
              <w:t xml:space="preserve">Purpose, scope, and key design principles</w:t>
            </w:r>
          </w:p>
        </w:tc>
      </w:tr>
    </w:tbl>
    <w:p>
      <w:pPr>
        <w:spacing w:after="60" w:before="60"/>
      </w:pPr>
    </w:p>
    <w:p>
      <w:pPr>
        <w:pStyle w:val="Heading2"/>
        <w:spacing w:after="120" w:before="320"/>
      </w:pPr>
      <w:r>
        <w:t xml:space="preserve">1.1 Purpose</w:t>
      </w:r>
    </w:p>
    <w:p>
      <w:pPr>
        <w:spacing w:after="120" w:before="80"/>
      </w:pPr>
      <w:r>
        <w:rPr>
          <w:i/>
          <w:iCs/>
          <w:color w:val="1A1A2E"/>
          <w:sz w:val="23"/>
          <w:szCs w:val="23"/>
        </w:rPr>
        <w:t xml:space="preserve">This document describes the complete system architecture of EduGraph AI — a national educational intelligence platform built for Ethiopia's K-12 public education system.</w:t>
      </w:r>
    </w:p>
    <w:p>
      <w:pPr>
        <w:spacing w:after="60" w:before="60"/>
        <w:ind w:left="0"/>
      </w:pPr>
      <w:r>
        <w:rPr>
          <w:color w:val="4A4A4A"/>
          <w:sz w:val="22"/>
          <w:szCs w:val="22"/>
        </w:rPr>
        <w:t xml:space="preserve">It covers every layer of the system: frontend client applications, API gateway and backend services, AI microservices, database architecture, offline sync infrastructure, infrastructure and orchestration, security controls, and operational monitoring. The document is intended for engineering teams, government technical reviewers, infrastructure partners, and security auditors.</w:t>
      </w:r>
    </w:p>
    <w:p>
      <w:pPr>
        <w:pStyle w:val="Heading2"/>
        <w:spacing w:after="120" w:before="320"/>
      </w:pPr>
      <w:r>
        <w:t xml:space="preserve">1.2 Scope</w:t>
      </w:r>
    </w:p>
    <w:p>
      <w:pPr>
        <w:spacing w:after="60" w:before="60"/>
        <w:ind w:left="0"/>
      </w:pPr>
      <w:r>
        <w:rPr>
          <w:color w:val="4A4A4A"/>
          <w:sz w:val="22"/>
          <w:szCs w:val="22"/>
        </w:rPr>
        <w:t xml:space="preserve">EduGraph AI serves six stakeholder tiers simultaneously: Students (26M+), Teachers (500K+), School Administrators (50,000+ schools), Regional Education Bureaus, Ministry of Education, and Career Intelligence consumers. The system operates both online (cloud-hosted) and fully offline (via School Box hardware nodes) to serve rural schools with zero internet connectivity.</w:t>
      </w:r>
    </w:p>
    <w:p>
      <w:pPr>
        <w:pStyle w:val="Heading2"/>
        <w:spacing w:after="120" w:before="320"/>
      </w:pPr>
      <w:r>
        <w:t xml:space="preserve">1.3 Core Design Principles</w:t>
      </w:r>
    </w:p>
    <w:p>
      <w:pPr>
        <w:pStyle w:val="ListParagraph"/>
        <w:numPr>
          <w:ilvl w:val="0"/>
          <w:numId w:val="2"/>
        </w:numPr>
        <w:spacing w:after="40" w:before="40"/>
      </w:pPr>
      <w:r>
        <w:rPr>
          <w:color w:val="4A4A4A"/>
          <w:sz w:val="21"/>
          <w:szCs w:val="21"/>
        </w:rPr>
        <w:t xml:space="preserve">Offline-first: every feature works without internet, sync happens opportunistically</w:t>
      </w:r>
    </w:p>
    <w:p>
      <w:pPr>
        <w:pStyle w:val="ListParagraph"/>
        <w:numPr>
          <w:ilvl w:val="0"/>
          <w:numId w:val="2"/>
        </w:numPr>
        <w:spacing w:after="40" w:before="40"/>
      </w:pPr>
      <w:r>
        <w:rPr>
          <w:color w:val="4A4A4A"/>
          <w:sz w:val="21"/>
          <w:szCs w:val="21"/>
        </w:rPr>
        <w:t xml:space="preserve">Security-by-default: row-level isolation, encrypted at rest and in transit, audit trails on all access</w:t>
      </w:r>
    </w:p>
    <w:p>
      <w:pPr>
        <w:pStyle w:val="ListParagraph"/>
        <w:numPr>
          <w:ilvl w:val="0"/>
          <w:numId w:val="2"/>
        </w:numPr>
        <w:spacing w:after="40" w:before="40"/>
      </w:pPr>
      <w:r>
        <w:rPr>
          <w:color w:val="4A4A4A"/>
          <w:sz w:val="21"/>
          <w:szCs w:val="21"/>
        </w:rPr>
        <w:t xml:space="preserve">Horizontal scalability: stateless services, Kubernetes autoscaling, no single point of failure</w:t>
      </w:r>
    </w:p>
    <w:p>
      <w:pPr>
        <w:pStyle w:val="ListParagraph"/>
        <w:numPr>
          <w:ilvl w:val="0"/>
          <w:numId w:val="2"/>
        </w:numPr>
        <w:spacing w:after="40" w:before="40"/>
      </w:pPr>
      <w:r>
        <w:rPr>
          <w:color w:val="4A4A4A"/>
          <w:sz w:val="21"/>
          <w:szCs w:val="21"/>
        </w:rPr>
        <w:t xml:space="preserve">Data sovereignty: all student PII stored in-country, East Africa region, compliant with Ethiopian data protection law</w:t>
      </w:r>
    </w:p>
    <w:p>
      <w:pPr>
        <w:pStyle w:val="ListParagraph"/>
        <w:numPr>
          <w:ilvl w:val="0"/>
          <w:numId w:val="2"/>
        </w:numPr>
        <w:spacing w:after="40" w:before="40"/>
      </w:pPr>
      <w:r>
        <w:rPr>
          <w:color w:val="4A4A4A"/>
          <w:sz w:val="21"/>
          <w:szCs w:val="21"/>
        </w:rPr>
        <w:t xml:space="preserve">Separation of concerns: AI inference isolated from transactional data, each service owns its domain</w:t>
      </w:r>
    </w:p>
    <w:p>
      <w:pPr>
        <w:pStyle w:val="ListParagraph"/>
        <w:numPr>
          <w:ilvl w:val="0"/>
          <w:numId w:val="2"/>
        </w:numPr>
        <w:spacing w:after="40" w:before="40"/>
      </w:pPr>
      <w:r>
        <w:rPr>
          <w:color w:val="4A4A4A"/>
          <w:sz w:val="21"/>
          <w:szCs w:val="21"/>
        </w:rPr>
        <w:t xml:space="preserve">Immutable infrastructure: Terraform-managed, GitOps-deployed, no manual server changes</w:t>
      </w:r>
    </w:p>
    <w:p>
      <w:pPr>
        <w:pStyle w:val="Heading2"/>
        <w:spacing w:after="120" w:before="320"/>
      </w:pPr>
      <w:r>
        <w:t xml:space="preserve">1.4 Technology Stack Summary</w:t>
      </w:r>
    </w:p>
    <w:p>
      <w:pPr>
        <w:spacing w:after="60" w:before="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3000"/>
        <w:gridCol w:w="3000"/>
        <w:gridCol w:w="3000"/>
      </w:tblGrid>
      <w:tr>
        <w:trPr>
          <w:tblHeader/>
        </w:trPr>
        <w:tc>
          <w:tcPr>
            <w:tcW w:type="dxa" w:w="3000"/>
            <w:shd w:fill="1A4A7A" w:val="clear"/>
            <w:vAlign w:val="center"/>
          </w:tcPr>
          <w:p>
            <w:pPr>
              <w:spacing w:after="60" w:before="60"/>
              <w:ind w:left="115"/>
            </w:pPr>
            <w:r>
              <w:rPr>
                <w:b/>
                <w:bCs/>
                <w:color w:val="FFFFFF"/>
                <w:sz w:val="20"/>
                <w:szCs w:val="20"/>
              </w:rPr>
              <w:t xml:space="preserve">Layer</w:t>
            </w:r>
          </w:p>
        </w:tc>
        <w:tc>
          <w:tcPr>
            <w:tcW w:type="dxa" w:w="3000"/>
            <w:shd w:fill="1A4A7A" w:val="clear"/>
            <w:vAlign w:val="center"/>
          </w:tcPr>
          <w:p>
            <w:pPr>
              <w:spacing w:after="60" w:before="60"/>
              <w:ind w:left="115"/>
            </w:pPr>
            <w:r>
              <w:rPr>
                <w:b/>
                <w:bCs/>
                <w:color w:val="FFFFFF"/>
                <w:sz w:val="20"/>
                <w:szCs w:val="20"/>
              </w:rPr>
              <w:t xml:space="preserve">Technology</w:t>
            </w:r>
          </w:p>
        </w:tc>
        <w:tc>
          <w:tcPr>
            <w:tcW w:type="dxa" w:w="3000"/>
            <w:shd w:fill="1A4A7A" w:val="clear"/>
            <w:vAlign w:val="center"/>
          </w:tcPr>
          <w:p>
            <w:pPr>
              <w:spacing w:after="60" w:before="60"/>
              <w:ind w:left="115"/>
            </w:pPr>
            <w:r>
              <w:rPr>
                <w:b/>
                <w:bCs/>
                <w:color w:val="FFFFFF"/>
                <w:sz w:val="20"/>
                <w:szCs w:val="20"/>
              </w:rPr>
              <w:t xml:space="preserve">Role</w:t>
            </w:r>
          </w:p>
        </w:tc>
      </w:tr>
      <w:tr>
        <w:tc>
          <w:tcPr>
            <w:tcW w:type="dxa" w:w="3000"/>
            <w:shd w:fill="FFFFFF" w:val="clear"/>
            <w:vAlign w:val="center"/>
          </w:tcPr>
          <w:p>
            <w:pPr>
              <w:spacing w:after="60" w:before="60"/>
              <w:ind w:left="115"/>
            </w:pPr>
            <w:r>
              <w:rPr>
                <w:b w:val="false"/>
                <w:bCs w:val="false"/>
                <w:color w:val="4A4A4A"/>
                <w:sz w:val="20"/>
                <w:szCs w:val="20"/>
              </w:rPr>
              <w:t xml:space="preserve">Frontend</w:t>
            </w:r>
          </w:p>
        </w:tc>
        <w:tc>
          <w:tcPr>
            <w:tcW w:type="dxa" w:w="3000"/>
            <w:shd w:fill="FFFFFF" w:val="clear"/>
            <w:vAlign w:val="center"/>
          </w:tcPr>
          <w:p>
            <w:pPr>
              <w:spacing w:after="60" w:before="60"/>
              <w:ind w:left="115"/>
            </w:pPr>
            <w:r>
              <w:rPr>
                <w:b w:val="false"/>
                <w:bCs w:val="false"/>
                <w:color w:val="4A4A4A"/>
                <w:sz w:val="20"/>
                <w:szCs w:val="20"/>
              </w:rPr>
              <w:t xml:space="preserve">React 18 + TypeScript + Vite</w:t>
            </w:r>
          </w:p>
        </w:tc>
        <w:tc>
          <w:tcPr>
            <w:tcW w:type="dxa" w:w="3000"/>
            <w:shd w:fill="FFFFFF" w:val="clear"/>
            <w:vAlign w:val="center"/>
          </w:tcPr>
          <w:p>
            <w:pPr>
              <w:spacing w:after="60" w:before="60"/>
              <w:ind w:left="115"/>
            </w:pPr>
            <w:r>
              <w:rPr>
                <w:b w:val="false"/>
                <w:bCs w:val="false"/>
                <w:color w:val="4A4A4A"/>
                <w:sz w:val="20"/>
                <w:szCs w:val="20"/>
              </w:rPr>
              <w:t xml:space="preserve">Role-specific dashboards</w:t>
            </w:r>
          </w:p>
        </w:tc>
      </w:tr>
      <w:tr>
        <w:tc>
          <w:tcPr>
            <w:tcW w:type="dxa" w:w="3000"/>
            <w:shd w:fill="F9FAFB" w:val="clear"/>
            <w:vAlign w:val="center"/>
          </w:tcPr>
          <w:p>
            <w:pPr>
              <w:spacing w:after="60" w:before="60"/>
              <w:ind w:left="115"/>
            </w:pPr>
            <w:r>
              <w:rPr>
                <w:b w:val="false"/>
                <w:bCs w:val="false"/>
                <w:color w:val="4A4A4A"/>
                <w:sz w:val="20"/>
                <w:szCs w:val="20"/>
              </w:rPr>
              <w:t xml:space="preserve">API Gateway</w:t>
            </w:r>
          </w:p>
        </w:tc>
        <w:tc>
          <w:tcPr>
            <w:tcW w:type="dxa" w:w="3000"/>
            <w:shd w:fill="F9FAFB" w:val="clear"/>
            <w:vAlign w:val="center"/>
          </w:tcPr>
          <w:p>
            <w:pPr>
              <w:spacing w:after="60" w:before="60"/>
              <w:ind w:left="115"/>
            </w:pPr>
            <w:r>
              <w:rPr>
                <w:b w:val="false"/>
                <w:bCs w:val="false"/>
                <w:color w:val="4A4A4A"/>
                <w:sz w:val="20"/>
                <w:szCs w:val="20"/>
              </w:rPr>
              <w:t xml:space="preserve">Kong Gateway</w:t>
            </w:r>
          </w:p>
        </w:tc>
        <w:tc>
          <w:tcPr>
            <w:tcW w:type="dxa" w:w="3000"/>
            <w:shd w:fill="F9FAFB" w:val="clear"/>
            <w:vAlign w:val="center"/>
          </w:tcPr>
          <w:p>
            <w:pPr>
              <w:spacing w:after="60" w:before="60"/>
              <w:ind w:left="115"/>
            </w:pPr>
            <w:r>
              <w:rPr>
                <w:b w:val="false"/>
                <w:bCs w:val="false"/>
                <w:color w:val="4A4A4A"/>
                <w:sz w:val="20"/>
                <w:szCs w:val="20"/>
              </w:rPr>
              <w:t xml:space="preserve">Rate limiting, auth, routing</w:t>
            </w:r>
          </w:p>
        </w:tc>
      </w:tr>
      <w:tr>
        <w:tc>
          <w:tcPr>
            <w:tcW w:type="dxa" w:w="3000"/>
            <w:shd w:fill="FFFFFF" w:val="clear"/>
            <w:vAlign w:val="center"/>
          </w:tcPr>
          <w:p>
            <w:pPr>
              <w:spacing w:after="60" w:before="60"/>
              <w:ind w:left="115"/>
            </w:pPr>
            <w:r>
              <w:rPr>
                <w:b w:val="false"/>
                <w:bCs w:val="false"/>
                <w:color w:val="4A4A4A"/>
                <w:sz w:val="20"/>
                <w:szCs w:val="20"/>
              </w:rPr>
              <w:t xml:space="preserve">Core Backend</w:t>
            </w:r>
          </w:p>
        </w:tc>
        <w:tc>
          <w:tcPr>
            <w:tcW w:type="dxa" w:w="3000"/>
            <w:shd w:fill="FFFFFF" w:val="clear"/>
            <w:vAlign w:val="center"/>
          </w:tcPr>
          <w:p>
            <w:pPr>
              <w:spacing w:after="60" w:before="60"/>
              <w:ind w:left="115"/>
            </w:pPr>
            <w:r>
              <w:rPr>
                <w:b w:val="false"/>
                <w:bCs w:val="false"/>
                <w:color w:val="4A4A4A"/>
                <w:sz w:val="20"/>
                <w:szCs w:val="20"/>
              </w:rPr>
              <w:t xml:space="preserve">Go 1.22 + Gin</w:t>
            </w:r>
          </w:p>
        </w:tc>
        <w:tc>
          <w:tcPr>
            <w:tcW w:type="dxa" w:w="3000"/>
            <w:shd w:fill="FFFFFF" w:val="clear"/>
            <w:vAlign w:val="center"/>
          </w:tcPr>
          <w:p>
            <w:pPr>
              <w:spacing w:after="60" w:before="60"/>
              <w:ind w:left="115"/>
            </w:pPr>
            <w:r>
              <w:rPr>
                <w:b w:val="false"/>
                <w:bCs w:val="false"/>
                <w:color w:val="4A4A4A"/>
                <w:sz w:val="20"/>
                <w:szCs w:val="20"/>
              </w:rPr>
              <w:t xml:space="preserve">REST + WebSocket APIs</w:t>
            </w:r>
          </w:p>
        </w:tc>
      </w:tr>
      <w:tr>
        <w:tc>
          <w:tcPr>
            <w:tcW w:type="dxa" w:w="3000"/>
            <w:shd w:fill="F9FAFB" w:val="clear"/>
            <w:vAlign w:val="center"/>
          </w:tcPr>
          <w:p>
            <w:pPr>
              <w:spacing w:after="60" w:before="60"/>
              <w:ind w:left="115"/>
            </w:pPr>
            <w:r>
              <w:rPr>
                <w:b w:val="false"/>
                <w:bCs w:val="false"/>
                <w:color w:val="4A4A4A"/>
                <w:sz w:val="20"/>
                <w:szCs w:val="20"/>
              </w:rPr>
              <w:t xml:space="preserve">AI Service</w:t>
            </w:r>
          </w:p>
        </w:tc>
        <w:tc>
          <w:tcPr>
            <w:tcW w:type="dxa" w:w="3000"/>
            <w:shd w:fill="F9FAFB" w:val="clear"/>
            <w:vAlign w:val="center"/>
          </w:tcPr>
          <w:p>
            <w:pPr>
              <w:spacing w:after="60" w:before="60"/>
              <w:ind w:left="115"/>
            </w:pPr>
            <w:r>
              <w:rPr>
                <w:b w:val="false"/>
                <w:bCs w:val="false"/>
                <w:color w:val="4A4A4A"/>
                <w:sz w:val="20"/>
                <w:szCs w:val="20"/>
              </w:rPr>
              <w:t xml:space="preserve">Python 3.12 + FastAPI</w:t>
            </w:r>
          </w:p>
        </w:tc>
        <w:tc>
          <w:tcPr>
            <w:tcW w:type="dxa" w:w="3000"/>
            <w:shd w:fill="F9FAFB" w:val="clear"/>
            <w:vAlign w:val="center"/>
          </w:tcPr>
          <w:p>
            <w:pPr>
              <w:spacing w:after="60" w:before="60"/>
              <w:ind w:left="115"/>
            </w:pPr>
            <w:r>
              <w:rPr>
                <w:b w:val="false"/>
                <w:bCs w:val="false"/>
                <w:color w:val="4A4A4A"/>
                <w:sz w:val="20"/>
                <w:szCs w:val="20"/>
              </w:rPr>
              <w:t xml:space="preserve">LLM, Graph-RAG, gap engine</w:t>
            </w:r>
          </w:p>
        </w:tc>
      </w:tr>
      <w:tr>
        <w:tc>
          <w:tcPr>
            <w:tcW w:type="dxa" w:w="3000"/>
            <w:shd w:fill="FFFFFF" w:val="clear"/>
            <w:vAlign w:val="center"/>
          </w:tcPr>
          <w:p>
            <w:pPr>
              <w:spacing w:after="60" w:before="60"/>
              <w:ind w:left="115"/>
            </w:pPr>
            <w:r>
              <w:rPr>
                <w:b w:val="false"/>
                <w:bCs w:val="false"/>
                <w:color w:val="4A4A4A"/>
                <w:sz w:val="20"/>
                <w:szCs w:val="20"/>
              </w:rPr>
              <w:t xml:space="preserve">Primary DB</w:t>
            </w:r>
          </w:p>
        </w:tc>
        <w:tc>
          <w:tcPr>
            <w:tcW w:type="dxa" w:w="3000"/>
            <w:shd w:fill="FFFFFF" w:val="clear"/>
            <w:vAlign w:val="center"/>
          </w:tcPr>
          <w:p>
            <w:pPr>
              <w:spacing w:after="60" w:before="60"/>
              <w:ind w:left="115"/>
            </w:pPr>
            <w:r>
              <w:rPr>
                <w:b w:val="false"/>
                <w:bCs w:val="false"/>
                <w:color w:val="4A4A4A"/>
                <w:sz w:val="20"/>
                <w:szCs w:val="20"/>
              </w:rPr>
              <w:t xml:space="preserve">PostgreSQL 16</w:t>
            </w:r>
          </w:p>
        </w:tc>
        <w:tc>
          <w:tcPr>
            <w:tcW w:type="dxa" w:w="3000"/>
            <w:shd w:fill="FFFFFF" w:val="clear"/>
            <w:vAlign w:val="center"/>
          </w:tcPr>
          <w:p>
            <w:pPr>
              <w:spacing w:after="60" w:before="60"/>
              <w:ind w:left="115"/>
            </w:pPr>
            <w:r>
              <w:rPr>
                <w:b w:val="false"/>
                <w:bCs w:val="false"/>
                <w:color w:val="4A4A4A"/>
                <w:sz w:val="20"/>
                <w:szCs w:val="20"/>
              </w:rPr>
              <w:t xml:space="preserve">Transactional student data</w:t>
            </w:r>
          </w:p>
        </w:tc>
      </w:tr>
      <w:tr>
        <w:tc>
          <w:tcPr>
            <w:tcW w:type="dxa" w:w="3000"/>
            <w:shd w:fill="F9FAFB" w:val="clear"/>
            <w:vAlign w:val="center"/>
          </w:tcPr>
          <w:p>
            <w:pPr>
              <w:spacing w:after="60" w:before="60"/>
              <w:ind w:left="115"/>
            </w:pPr>
            <w:r>
              <w:rPr>
                <w:b w:val="false"/>
                <w:bCs w:val="false"/>
                <w:color w:val="4A4A4A"/>
                <w:sz w:val="20"/>
                <w:szCs w:val="20"/>
              </w:rPr>
              <w:t xml:space="preserve">Graph DB</w:t>
            </w:r>
          </w:p>
        </w:tc>
        <w:tc>
          <w:tcPr>
            <w:tcW w:type="dxa" w:w="3000"/>
            <w:shd w:fill="F9FAFB" w:val="clear"/>
            <w:vAlign w:val="center"/>
          </w:tcPr>
          <w:p>
            <w:pPr>
              <w:spacing w:after="60" w:before="60"/>
              <w:ind w:left="115"/>
            </w:pPr>
            <w:r>
              <w:rPr>
                <w:b w:val="false"/>
                <w:bCs w:val="false"/>
                <w:color w:val="4A4A4A"/>
                <w:sz w:val="20"/>
                <w:szCs w:val="20"/>
              </w:rPr>
              <w:t xml:space="preserve">Neo4j 5.x Enterprise</w:t>
            </w:r>
          </w:p>
        </w:tc>
        <w:tc>
          <w:tcPr>
            <w:tcW w:type="dxa" w:w="3000"/>
            <w:shd w:fill="F9FAFB" w:val="clear"/>
            <w:vAlign w:val="center"/>
          </w:tcPr>
          <w:p>
            <w:pPr>
              <w:spacing w:after="60" w:before="60"/>
              <w:ind w:left="115"/>
            </w:pPr>
            <w:r>
              <w:rPr>
                <w:b w:val="false"/>
                <w:bCs w:val="false"/>
                <w:color w:val="4A4A4A"/>
                <w:sz w:val="20"/>
                <w:szCs w:val="20"/>
              </w:rPr>
              <w:t xml:space="preserve">Curriculum knowledge graph</w:t>
            </w:r>
          </w:p>
        </w:tc>
      </w:tr>
      <w:tr>
        <w:tc>
          <w:tcPr>
            <w:tcW w:type="dxa" w:w="3000"/>
            <w:shd w:fill="FFFFFF" w:val="clear"/>
            <w:vAlign w:val="center"/>
          </w:tcPr>
          <w:p>
            <w:pPr>
              <w:spacing w:after="60" w:before="60"/>
              <w:ind w:left="115"/>
            </w:pPr>
            <w:r>
              <w:rPr>
                <w:b w:val="false"/>
                <w:bCs w:val="false"/>
                <w:color w:val="4A4A4A"/>
                <w:sz w:val="20"/>
                <w:szCs w:val="20"/>
              </w:rPr>
              <w:t xml:space="preserve">Cache / Queue</w:t>
            </w:r>
          </w:p>
        </w:tc>
        <w:tc>
          <w:tcPr>
            <w:tcW w:type="dxa" w:w="3000"/>
            <w:shd w:fill="FFFFFF" w:val="clear"/>
            <w:vAlign w:val="center"/>
          </w:tcPr>
          <w:p>
            <w:pPr>
              <w:spacing w:after="60" w:before="60"/>
              <w:ind w:left="115"/>
            </w:pPr>
            <w:r>
              <w:rPr>
                <w:b w:val="false"/>
                <w:bCs w:val="false"/>
                <w:color w:val="4A4A4A"/>
                <w:sz w:val="20"/>
                <w:szCs w:val="20"/>
              </w:rPr>
              <w:t xml:space="preserve">Redis 7 + Bull MQ</w:t>
            </w:r>
          </w:p>
        </w:tc>
        <w:tc>
          <w:tcPr>
            <w:tcW w:type="dxa" w:w="3000"/>
            <w:shd w:fill="FFFFFF" w:val="clear"/>
            <w:vAlign w:val="center"/>
          </w:tcPr>
          <w:p>
            <w:pPr>
              <w:spacing w:after="60" w:before="60"/>
              <w:ind w:left="115"/>
            </w:pPr>
            <w:r>
              <w:rPr>
                <w:b w:val="false"/>
                <w:bCs w:val="false"/>
                <w:color w:val="4A4A4A"/>
                <w:sz w:val="20"/>
                <w:szCs w:val="20"/>
              </w:rPr>
              <w:t xml:space="preserve">Sessions, jobs, pub-sub</w:t>
            </w:r>
          </w:p>
        </w:tc>
      </w:tr>
      <w:tr>
        <w:tc>
          <w:tcPr>
            <w:tcW w:type="dxa" w:w="3000"/>
            <w:shd w:fill="F9FAFB" w:val="clear"/>
            <w:vAlign w:val="center"/>
          </w:tcPr>
          <w:p>
            <w:pPr>
              <w:spacing w:after="60" w:before="60"/>
              <w:ind w:left="115"/>
            </w:pPr>
            <w:r>
              <w:rPr>
                <w:b w:val="false"/>
                <w:bCs w:val="false"/>
                <w:color w:val="4A4A4A"/>
                <w:sz w:val="20"/>
                <w:szCs w:val="20"/>
              </w:rPr>
              <w:t xml:space="preserve">Object Storage</w:t>
            </w:r>
          </w:p>
        </w:tc>
        <w:tc>
          <w:tcPr>
            <w:tcW w:type="dxa" w:w="3000"/>
            <w:shd w:fill="F9FAFB" w:val="clear"/>
            <w:vAlign w:val="center"/>
          </w:tcPr>
          <w:p>
            <w:pPr>
              <w:spacing w:after="60" w:before="60"/>
              <w:ind w:left="115"/>
            </w:pPr>
            <w:r>
              <w:rPr>
                <w:b w:val="false"/>
                <w:bCs w:val="false"/>
                <w:color w:val="4A4A4A"/>
                <w:sz w:val="20"/>
                <w:szCs w:val="20"/>
              </w:rPr>
              <w:t xml:space="preserve">AWS S3 (af-south-1)</w:t>
            </w:r>
          </w:p>
        </w:tc>
        <w:tc>
          <w:tcPr>
            <w:tcW w:type="dxa" w:w="3000"/>
            <w:shd w:fill="F9FAFB" w:val="clear"/>
            <w:vAlign w:val="center"/>
          </w:tcPr>
          <w:p>
            <w:pPr>
              <w:spacing w:after="60" w:before="60"/>
              <w:ind w:left="115"/>
            </w:pPr>
            <w:r>
              <w:rPr>
                <w:b w:val="false"/>
                <w:bCs w:val="false"/>
                <w:color w:val="4A4A4A"/>
                <w:sz w:val="20"/>
                <w:szCs w:val="20"/>
              </w:rPr>
              <w:t xml:space="preserve">Documents, exam files</w:t>
            </w:r>
          </w:p>
        </w:tc>
      </w:tr>
      <w:tr>
        <w:tc>
          <w:tcPr>
            <w:tcW w:type="dxa" w:w="3000"/>
            <w:shd w:fill="FFFFFF" w:val="clear"/>
            <w:vAlign w:val="center"/>
          </w:tcPr>
          <w:p>
            <w:pPr>
              <w:spacing w:after="60" w:before="60"/>
              <w:ind w:left="115"/>
            </w:pPr>
            <w:r>
              <w:rPr>
                <w:b w:val="false"/>
                <w:bCs w:val="false"/>
                <w:color w:val="4A4A4A"/>
                <w:sz w:val="20"/>
                <w:szCs w:val="20"/>
              </w:rPr>
              <w:t xml:space="preserve">Offline AI</w:t>
            </w:r>
          </w:p>
        </w:tc>
        <w:tc>
          <w:tcPr>
            <w:tcW w:type="dxa" w:w="3000"/>
            <w:shd w:fill="FFFFFF" w:val="clear"/>
            <w:vAlign w:val="center"/>
          </w:tcPr>
          <w:p>
            <w:pPr>
              <w:spacing w:after="60" w:before="60"/>
              <w:ind w:left="115"/>
            </w:pPr>
            <w:r>
              <w:rPr>
                <w:b w:val="false"/>
                <w:bCs w:val="false"/>
                <w:color w:val="4A4A4A"/>
                <w:sz w:val="20"/>
                <w:szCs w:val="20"/>
              </w:rPr>
              <w:t xml:space="preserve">Ollama (Qwen / Llama)</w:t>
            </w:r>
          </w:p>
        </w:tc>
        <w:tc>
          <w:tcPr>
            <w:tcW w:type="dxa" w:w="3000"/>
            <w:shd w:fill="FFFFFF" w:val="clear"/>
            <w:vAlign w:val="center"/>
          </w:tcPr>
          <w:p>
            <w:pPr>
              <w:spacing w:after="60" w:before="60"/>
              <w:ind w:left="115"/>
            </w:pPr>
            <w:r>
              <w:rPr>
                <w:b w:val="false"/>
                <w:bCs w:val="false"/>
                <w:color w:val="4A4A4A"/>
                <w:sz w:val="20"/>
                <w:szCs w:val="20"/>
              </w:rPr>
              <w:t xml:space="preserve">School Box local inference</w:t>
            </w:r>
          </w:p>
        </w:tc>
      </w:tr>
      <w:tr>
        <w:tc>
          <w:tcPr>
            <w:tcW w:type="dxa" w:w="3000"/>
            <w:shd w:fill="F9FAFB" w:val="clear"/>
            <w:vAlign w:val="center"/>
          </w:tcPr>
          <w:p>
            <w:pPr>
              <w:spacing w:after="60" w:before="60"/>
              <w:ind w:left="115"/>
            </w:pPr>
            <w:r>
              <w:rPr>
                <w:b w:val="false"/>
                <w:bCs w:val="false"/>
                <w:color w:val="4A4A4A"/>
                <w:sz w:val="20"/>
                <w:szCs w:val="20"/>
              </w:rPr>
              <w:t xml:space="preserve">Sync Engine</w:t>
            </w:r>
          </w:p>
        </w:tc>
        <w:tc>
          <w:tcPr>
            <w:tcW w:type="dxa" w:w="3000"/>
            <w:shd w:fill="F9FAFB" w:val="clear"/>
            <w:vAlign w:val="center"/>
          </w:tcPr>
          <w:p>
            <w:pPr>
              <w:spacing w:after="60" w:before="60"/>
              <w:ind w:left="115"/>
            </w:pPr>
            <w:r>
              <w:rPr>
                <w:b w:val="false"/>
                <w:bCs w:val="false"/>
                <w:color w:val="4A4A4A"/>
                <w:sz w:val="20"/>
                <w:szCs w:val="20"/>
              </w:rPr>
              <w:t xml:space="preserve">ElectricSQL + CRDT</w:t>
            </w:r>
          </w:p>
        </w:tc>
        <w:tc>
          <w:tcPr>
            <w:tcW w:type="dxa" w:w="3000"/>
            <w:shd w:fill="F9FAFB" w:val="clear"/>
            <w:vAlign w:val="center"/>
          </w:tcPr>
          <w:p>
            <w:pPr>
              <w:spacing w:after="60" w:before="60"/>
              <w:ind w:left="115"/>
            </w:pPr>
            <w:r>
              <w:rPr>
                <w:b w:val="false"/>
                <w:bCs w:val="false"/>
                <w:color w:val="4A4A4A"/>
                <w:sz w:val="20"/>
                <w:szCs w:val="20"/>
              </w:rPr>
              <w:t xml:space="preserve">Offline-to-cloud sync</w:t>
            </w:r>
          </w:p>
        </w:tc>
      </w:tr>
      <w:tr>
        <w:tc>
          <w:tcPr>
            <w:tcW w:type="dxa" w:w="3000"/>
            <w:shd w:fill="FFFFFF" w:val="clear"/>
            <w:vAlign w:val="center"/>
          </w:tcPr>
          <w:p>
            <w:pPr>
              <w:spacing w:after="60" w:before="60"/>
              <w:ind w:left="115"/>
            </w:pPr>
            <w:r>
              <w:rPr>
                <w:b w:val="false"/>
                <w:bCs w:val="false"/>
                <w:color w:val="4A4A4A"/>
                <w:sz w:val="20"/>
                <w:szCs w:val="20"/>
              </w:rPr>
              <w:t xml:space="preserve">Orchestration</w:t>
            </w:r>
          </w:p>
        </w:tc>
        <w:tc>
          <w:tcPr>
            <w:tcW w:type="dxa" w:w="3000"/>
            <w:shd w:fill="FFFFFF" w:val="clear"/>
            <w:vAlign w:val="center"/>
          </w:tcPr>
          <w:p>
            <w:pPr>
              <w:spacing w:after="60" w:before="60"/>
              <w:ind w:left="115"/>
            </w:pPr>
            <w:r>
              <w:rPr>
                <w:b w:val="false"/>
                <w:bCs w:val="false"/>
                <w:color w:val="4A4A4A"/>
                <w:sz w:val="20"/>
                <w:szCs w:val="20"/>
              </w:rPr>
              <w:t xml:space="preserve">Kubernetes 1.29</w:t>
            </w:r>
          </w:p>
        </w:tc>
        <w:tc>
          <w:tcPr>
            <w:tcW w:type="dxa" w:w="3000"/>
            <w:shd w:fill="FFFFFF" w:val="clear"/>
            <w:vAlign w:val="center"/>
          </w:tcPr>
          <w:p>
            <w:pPr>
              <w:spacing w:after="60" w:before="60"/>
              <w:ind w:left="115"/>
            </w:pPr>
            <w:r>
              <w:rPr>
                <w:b w:val="false"/>
                <w:bCs w:val="false"/>
                <w:color w:val="4A4A4A"/>
                <w:sz w:val="20"/>
                <w:szCs w:val="20"/>
              </w:rPr>
              <w:t xml:space="preserve">Container management</w:t>
            </w:r>
          </w:p>
        </w:tc>
      </w:tr>
      <w:tr>
        <w:tc>
          <w:tcPr>
            <w:tcW w:type="dxa" w:w="3000"/>
            <w:shd w:fill="F9FAFB" w:val="clear"/>
            <w:vAlign w:val="center"/>
          </w:tcPr>
          <w:p>
            <w:pPr>
              <w:spacing w:after="60" w:before="60"/>
              <w:ind w:left="115"/>
            </w:pPr>
            <w:r>
              <w:rPr>
                <w:b w:val="false"/>
                <w:bCs w:val="false"/>
                <w:color w:val="4A4A4A"/>
                <w:sz w:val="20"/>
                <w:szCs w:val="20"/>
              </w:rPr>
              <w:t xml:space="preserve">IaC</w:t>
            </w:r>
          </w:p>
        </w:tc>
        <w:tc>
          <w:tcPr>
            <w:tcW w:type="dxa" w:w="3000"/>
            <w:shd w:fill="F9FAFB" w:val="clear"/>
            <w:vAlign w:val="center"/>
          </w:tcPr>
          <w:p>
            <w:pPr>
              <w:spacing w:after="60" w:before="60"/>
              <w:ind w:left="115"/>
            </w:pPr>
            <w:r>
              <w:rPr>
                <w:b w:val="false"/>
                <w:bCs w:val="false"/>
                <w:color w:val="4A4A4A"/>
                <w:sz w:val="20"/>
                <w:szCs w:val="20"/>
              </w:rPr>
              <w:t xml:space="preserve">Terraform + Helm</w:t>
            </w:r>
          </w:p>
        </w:tc>
        <w:tc>
          <w:tcPr>
            <w:tcW w:type="dxa" w:w="3000"/>
            <w:shd w:fill="F9FAFB" w:val="clear"/>
            <w:vAlign w:val="center"/>
          </w:tcPr>
          <w:p>
            <w:pPr>
              <w:spacing w:after="60" w:before="60"/>
              <w:ind w:left="115"/>
            </w:pPr>
            <w:r>
              <w:rPr>
                <w:b w:val="false"/>
                <w:bCs w:val="false"/>
                <w:color w:val="4A4A4A"/>
                <w:sz w:val="20"/>
                <w:szCs w:val="20"/>
              </w:rPr>
              <w:t xml:space="preserve">Infrastructure as code</w:t>
            </w:r>
          </w:p>
        </w:tc>
      </w:tr>
      <w:tr>
        <w:tc>
          <w:tcPr>
            <w:tcW w:type="dxa" w:w="3000"/>
            <w:shd w:fill="FFFFFF" w:val="clear"/>
            <w:vAlign w:val="center"/>
          </w:tcPr>
          <w:p>
            <w:pPr>
              <w:spacing w:after="60" w:before="60"/>
              <w:ind w:left="115"/>
            </w:pPr>
            <w:r>
              <w:rPr>
                <w:b w:val="false"/>
                <w:bCs w:val="false"/>
                <w:color w:val="4A4A4A"/>
                <w:sz w:val="20"/>
                <w:szCs w:val="20"/>
              </w:rPr>
              <w:t xml:space="preserve">CI/CD</w:t>
            </w:r>
          </w:p>
        </w:tc>
        <w:tc>
          <w:tcPr>
            <w:tcW w:type="dxa" w:w="3000"/>
            <w:shd w:fill="FFFFFF" w:val="clear"/>
            <w:vAlign w:val="center"/>
          </w:tcPr>
          <w:p>
            <w:pPr>
              <w:spacing w:after="60" w:before="60"/>
              <w:ind w:left="115"/>
            </w:pPr>
            <w:r>
              <w:rPr>
                <w:b w:val="false"/>
                <w:bCs w:val="false"/>
                <w:color w:val="4A4A4A"/>
                <w:sz w:val="20"/>
                <w:szCs w:val="20"/>
              </w:rPr>
              <w:t xml:space="preserve">GitHub Actions</w:t>
            </w:r>
          </w:p>
        </w:tc>
        <w:tc>
          <w:tcPr>
            <w:tcW w:type="dxa" w:w="3000"/>
            <w:shd w:fill="FFFFFF" w:val="clear"/>
            <w:vAlign w:val="center"/>
          </w:tcPr>
          <w:p>
            <w:pPr>
              <w:spacing w:after="60" w:before="60"/>
              <w:ind w:left="115"/>
            </w:pPr>
            <w:r>
              <w:rPr>
                <w:b w:val="false"/>
                <w:bCs w:val="false"/>
                <w:color w:val="4A4A4A"/>
                <w:sz w:val="20"/>
                <w:szCs w:val="20"/>
              </w:rPr>
              <w:t xml:space="preserve">Automated deploy pipeline</w:t>
            </w:r>
          </w:p>
        </w:tc>
      </w:tr>
      <w:tr>
        <w:tc>
          <w:tcPr>
            <w:tcW w:type="dxa" w:w="3000"/>
            <w:shd w:fill="F9FAFB" w:val="clear"/>
            <w:vAlign w:val="center"/>
          </w:tcPr>
          <w:p>
            <w:pPr>
              <w:spacing w:after="60" w:before="60"/>
              <w:ind w:left="115"/>
            </w:pPr>
            <w:r>
              <w:rPr>
                <w:b w:val="false"/>
                <w:bCs w:val="false"/>
                <w:color w:val="4A4A4A"/>
                <w:sz w:val="20"/>
                <w:szCs w:val="20"/>
              </w:rPr>
              <w:t xml:space="preserve">Monitoring</w:t>
            </w:r>
          </w:p>
        </w:tc>
        <w:tc>
          <w:tcPr>
            <w:tcW w:type="dxa" w:w="3000"/>
            <w:shd w:fill="F9FAFB" w:val="clear"/>
            <w:vAlign w:val="center"/>
          </w:tcPr>
          <w:p>
            <w:pPr>
              <w:spacing w:after="60" w:before="60"/>
              <w:ind w:left="115"/>
            </w:pPr>
            <w:r>
              <w:rPr>
                <w:b w:val="false"/>
                <w:bCs w:val="false"/>
                <w:color w:val="4A4A4A"/>
                <w:sz w:val="20"/>
                <w:szCs w:val="20"/>
              </w:rPr>
              <w:t xml:space="preserve">Prometheus + Grafana</w:t>
            </w:r>
          </w:p>
        </w:tc>
        <w:tc>
          <w:tcPr>
            <w:tcW w:type="dxa" w:w="3000"/>
            <w:shd w:fill="F9FAFB" w:val="clear"/>
            <w:vAlign w:val="center"/>
          </w:tcPr>
          <w:p>
            <w:pPr>
              <w:spacing w:after="60" w:before="60"/>
              <w:ind w:left="115"/>
            </w:pPr>
            <w:r>
              <w:rPr>
                <w:b w:val="false"/>
                <w:bCs w:val="false"/>
                <w:color w:val="4A4A4A"/>
                <w:sz w:val="20"/>
                <w:szCs w:val="20"/>
              </w:rPr>
              <w:t xml:space="preserve">Observability stack</w:t>
            </w:r>
          </w:p>
        </w:tc>
      </w:tr>
      <w:tr>
        <w:tc>
          <w:tcPr>
            <w:tcW w:type="dxa" w:w="3000"/>
            <w:shd w:fill="FFFFFF" w:val="clear"/>
            <w:vAlign w:val="center"/>
          </w:tcPr>
          <w:p>
            <w:pPr>
              <w:spacing w:after="60" w:before="60"/>
              <w:ind w:left="115"/>
            </w:pPr>
            <w:r>
              <w:rPr>
                <w:b w:val="false"/>
                <w:bCs w:val="false"/>
                <w:color w:val="4A4A4A"/>
                <w:sz w:val="20"/>
                <w:szCs w:val="20"/>
              </w:rPr>
              <w:t xml:space="preserve">Secrets</w:t>
            </w:r>
          </w:p>
        </w:tc>
        <w:tc>
          <w:tcPr>
            <w:tcW w:type="dxa" w:w="3000"/>
            <w:shd w:fill="FFFFFF" w:val="clear"/>
            <w:vAlign w:val="center"/>
          </w:tcPr>
          <w:p>
            <w:pPr>
              <w:spacing w:after="60" w:before="60"/>
              <w:ind w:left="115"/>
            </w:pPr>
            <w:r>
              <w:rPr>
                <w:b w:val="false"/>
                <w:bCs w:val="false"/>
                <w:color w:val="4A4A4A"/>
                <w:sz w:val="20"/>
                <w:szCs w:val="20"/>
              </w:rPr>
              <w:t xml:space="preserve">HashiCorp Vault</w:t>
            </w:r>
          </w:p>
        </w:tc>
        <w:tc>
          <w:tcPr>
            <w:tcW w:type="dxa" w:w="3000"/>
            <w:shd w:fill="FFFFFF" w:val="clear"/>
            <w:vAlign w:val="center"/>
          </w:tcPr>
          <w:p>
            <w:pPr>
              <w:spacing w:after="60" w:before="60"/>
              <w:ind w:left="115"/>
            </w:pPr>
            <w:r>
              <w:rPr>
                <w:b w:val="false"/>
                <w:bCs w:val="false"/>
                <w:color w:val="4A4A4A"/>
                <w:sz w:val="20"/>
                <w:szCs w:val="20"/>
              </w:rPr>
              <w:t xml:space="preserve">Credentials management</w:t>
            </w:r>
          </w:p>
        </w:tc>
      </w:tr>
    </w:tbl>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02 — Frontend Architecture</w:t>
            </w:r>
          </w:p>
          <w:p>
            <w:pPr>
              <w:spacing w:after="80" w:before="40"/>
            </w:pPr>
            <w:r>
              <w:rPr>
                <w:i/>
                <w:iCs/>
                <w:color w:val="B3D4FF"/>
                <w:sz w:val="20"/>
                <w:szCs w:val="20"/>
              </w:rPr>
              <w:t xml:space="preserve">React client applications, state management, and offline capability</w:t>
            </w:r>
          </w:p>
        </w:tc>
      </w:tr>
    </w:tbl>
    <w:p>
      <w:pPr>
        <w:spacing w:after="60" w:before="60"/>
      </w:pPr>
    </w:p>
    <w:p>
      <w:pPr>
        <w:pStyle w:val="Heading2"/>
        <w:spacing w:after="120" w:before="320"/>
      </w:pPr>
      <w:r>
        <w:t xml:space="preserve">2.1 Application Structure</w:t>
      </w:r>
    </w:p>
    <w:p>
      <w:pPr>
        <w:spacing w:after="60" w:before="60"/>
        <w:ind w:left="0"/>
      </w:pPr>
      <w:r>
        <w:rPr>
          <w:color w:val="4A4A4A"/>
          <w:sz w:val="22"/>
          <w:szCs w:val="22"/>
        </w:rPr>
        <w:t xml:space="preserve">EduGraph AI's frontend is a single React 18 + TypeScript application served as a progressive web app (PWA). It presents five distinct dashboard experiences depending on the authenticated user's role, all within a single codebase using role-based route guards.</w:t>
      </w:r>
    </w:p>
    <w:p>
      <w:pPr>
        <w:pStyle w:val="Heading2"/>
        <w:spacing w:after="120" w:before="320"/>
      </w:pPr>
      <w:r>
        <w:t xml:space="preserve">2.2 Technology Stack</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Technology</w:t>
            </w:r>
          </w:p>
        </w:tc>
        <w:tc>
          <w:tcPr>
            <w:tcW w:type="dxa" w:w="4500"/>
            <w:shd w:fill="1A4A7A" w:val="clear"/>
            <w:vAlign w:val="center"/>
          </w:tcPr>
          <w:p>
            <w:pPr>
              <w:spacing w:after="60" w:before="60"/>
              <w:ind w:left="115"/>
            </w:pPr>
            <w:r>
              <w:rPr>
                <w:b/>
                <w:bCs/>
                <w:color w:val="FFFFFF"/>
                <w:sz w:val="20"/>
                <w:szCs w:val="20"/>
              </w:rPr>
              <w:t xml:space="preserve">Purpose / Rationale</w:t>
            </w:r>
          </w:p>
        </w:tc>
      </w:tr>
      <w:tr>
        <w:tc>
          <w:tcPr>
            <w:tcW w:type="dxa" w:w="4500"/>
            <w:shd w:fill="FFFFFF" w:val="clear"/>
            <w:vAlign w:val="center"/>
          </w:tcPr>
          <w:p>
            <w:pPr>
              <w:spacing w:after="60" w:before="60"/>
              <w:ind w:left="115"/>
            </w:pPr>
            <w:r>
              <w:rPr>
                <w:b w:val="false"/>
                <w:bCs w:val="false"/>
                <w:color w:val="4A4A4A"/>
                <w:sz w:val="20"/>
                <w:szCs w:val="20"/>
              </w:rPr>
              <w:t xml:space="preserve">React 18 + TypeScript</w:t>
            </w:r>
          </w:p>
        </w:tc>
        <w:tc>
          <w:tcPr>
            <w:tcW w:type="dxa" w:w="4500"/>
            <w:shd w:fill="FFFFFF" w:val="clear"/>
            <w:vAlign w:val="center"/>
          </w:tcPr>
          <w:p>
            <w:pPr>
              <w:spacing w:after="60" w:before="60"/>
              <w:ind w:left="115"/>
            </w:pPr>
            <w:r>
              <w:rPr>
                <w:b w:val="false"/>
                <w:bCs w:val="false"/>
                <w:color w:val="4A4A4A"/>
                <w:sz w:val="20"/>
                <w:szCs w:val="20"/>
              </w:rPr>
              <w:t xml:space="preserve">Component framework. TypeScript enforced — no `any` allowed in production code</w:t>
            </w:r>
          </w:p>
        </w:tc>
      </w:tr>
      <w:tr>
        <w:tc>
          <w:tcPr>
            <w:tcW w:type="dxa" w:w="4500"/>
            <w:shd w:fill="F9FAFB" w:val="clear"/>
            <w:vAlign w:val="center"/>
          </w:tcPr>
          <w:p>
            <w:pPr>
              <w:spacing w:after="60" w:before="60"/>
              <w:ind w:left="115"/>
            </w:pPr>
            <w:r>
              <w:rPr>
                <w:b w:val="false"/>
                <w:bCs w:val="false"/>
                <w:color w:val="4A4A4A"/>
                <w:sz w:val="20"/>
                <w:szCs w:val="20"/>
              </w:rPr>
              <w:t xml:space="preserve">Vite 5</w:t>
            </w:r>
          </w:p>
        </w:tc>
        <w:tc>
          <w:tcPr>
            <w:tcW w:type="dxa" w:w="4500"/>
            <w:shd w:fill="F9FAFB" w:val="clear"/>
            <w:vAlign w:val="center"/>
          </w:tcPr>
          <w:p>
            <w:pPr>
              <w:spacing w:after="60" w:before="60"/>
              <w:ind w:left="115"/>
            </w:pPr>
            <w:r>
              <w:rPr>
                <w:b w:val="false"/>
                <w:bCs w:val="false"/>
                <w:color w:val="4A4A4A"/>
                <w:sz w:val="20"/>
                <w:szCs w:val="20"/>
              </w:rPr>
              <w:t xml:space="preserve">Build tool. Sub-second HMR in development, tree-shaken production bundles</w:t>
            </w:r>
          </w:p>
        </w:tc>
      </w:tr>
      <w:tr>
        <w:tc>
          <w:tcPr>
            <w:tcW w:type="dxa" w:w="4500"/>
            <w:shd w:fill="FFFFFF" w:val="clear"/>
            <w:vAlign w:val="center"/>
          </w:tcPr>
          <w:p>
            <w:pPr>
              <w:spacing w:after="60" w:before="60"/>
              <w:ind w:left="115"/>
            </w:pPr>
            <w:r>
              <w:rPr>
                <w:b w:val="false"/>
                <w:bCs w:val="false"/>
                <w:color w:val="4A4A4A"/>
                <w:sz w:val="20"/>
                <w:szCs w:val="20"/>
              </w:rPr>
              <w:t xml:space="preserve">TanStack Router v1</w:t>
            </w:r>
          </w:p>
        </w:tc>
        <w:tc>
          <w:tcPr>
            <w:tcW w:type="dxa" w:w="4500"/>
            <w:shd w:fill="FFFFFF" w:val="clear"/>
            <w:vAlign w:val="center"/>
          </w:tcPr>
          <w:p>
            <w:pPr>
              <w:spacing w:after="60" w:before="60"/>
              <w:ind w:left="115"/>
            </w:pPr>
            <w:r>
              <w:rPr>
                <w:b w:val="false"/>
                <w:bCs w:val="false"/>
                <w:color w:val="4A4A4A"/>
                <w:sz w:val="20"/>
                <w:szCs w:val="20"/>
              </w:rPr>
              <w:t xml:space="preserve">Type-safe routing with built-in code splitting and route-level auth guards</w:t>
            </w:r>
          </w:p>
        </w:tc>
      </w:tr>
      <w:tr>
        <w:tc>
          <w:tcPr>
            <w:tcW w:type="dxa" w:w="4500"/>
            <w:shd w:fill="F9FAFB" w:val="clear"/>
            <w:vAlign w:val="center"/>
          </w:tcPr>
          <w:p>
            <w:pPr>
              <w:spacing w:after="60" w:before="60"/>
              <w:ind w:left="115"/>
            </w:pPr>
            <w:r>
              <w:rPr>
                <w:b w:val="false"/>
                <w:bCs w:val="false"/>
                <w:color w:val="4A4A4A"/>
                <w:sz w:val="20"/>
                <w:szCs w:val="20"/>
              </w:rPr>
              <w:t xml:space="preserve">TanStack Query v5</w:t>
            </w:r>
          </w:p>
        </w:tc>
        <w:tc>
          <w:tcPr>
            <w:tcW w:type="dxa" w:w="4500"/>
            <w:shd w:fill="F9FAFB" w:val="clear"/>
            <w:vAlign w:val="center"/>
          </w:tcPr>
          <w:p>
            <w:pPr>
              <w:spacing w:after="60" w:before="60"/>
              <w:ind w:left="115"/>
            </w:pPr>
            <w:r>
              <w:rPr>
                <w:b w:val="false"/>
                <w:bCs w:val="false"/>
                <w:color w:val="4A4A4A"/>
                <w:sz w:val="20"/>
                <w:szCs w:val="20"/>
              </w:rPr>
              <w:t xml:space="preserve">Server state: caching, background refetch, stale-while-revalidate, optimistic updates</w:t>
            </w:r>
          </w:p>
        </w:tc>
      </w:tr>
      <w:tr>
        <w:tc>
          <w:tcPr>
            <w:tcW w:type="dxa" w:w="4500"/>
            <w:shd w:fill="FFFFFF" w:val="clear"/>
            <w:vAlign w:val="center"/>
          </w:tcPr>
          <w:p>
            <w:pPr>
              <w:spacing w:after="60" w:before="60"/>
              <w:ind w:left="115"/>
            </w:pPr>
            <w:r>
              <w:rPr>
                <w:b w:val="false"/>
                <w:bCs w:val="false"/>
                <w:color w:val="4A4A4A"/>
                <w:sz w:val="20"/>
                <w:szCs w:val="20"/>
              </w:rPr>
              <w:t xml:space="preserve">Zustand</w:t>
            </w:r>
          </w:p>
        </w:tc>
        <w:tc>
          <w:tcPr>
            <w:tcW w:type="dxa" w:w="4500"/>
            <w:shd w:fill="FFFFFF" w:val="clear"/>
            <w:vAlign w:val="center"/>
          </w:tcPr>
          <w:p>
            <w:pPr>
              <w:spacing w:after="60" w:before="60"/>
              <w:ind w:left="115"/>
            </w:pPr>
            <w:r>
              <w:rPr>
                <w:b w:val="false"/>
                <w:bCs w:val="false"/>
                <w:color w:val="4A4A4A"/>
                <w:sz w:val="20"/>
                <w:szCs w:val="20"/>
              </w:rPr>
              <w:t xml:space="preserve">Client state (UI-only state that doesn't belong on the server)</w:t>
            </w:r>
          </w:p>
        </w:tc>
      </w:tr>
      <w:tr>
        <w:tc>
          <w:tcPr>
            <w:tcW w:type="dxa" w:w="4500"/>
            <w:shd w:fill="F9FAFB" w:val="clear"/>
            <w:vAlign w:val="center"/>
          </w:tcPr>
          <w:p>
            <w:pPr>
              <w:spacing w:after="60" w:before="60"/>
              <w:ind w:left="115"/>
            </w:pPr>
            <w:r>
              <w:rPr>
                <w:b w:val="false"/>
                <w:bCs w:val="false"/>
                <w:color w:val="4A4A4A"/>
                <w:sz w:val="20"/>
                <w:szCs w:val="20"/>
              </w:rPr>
              <w:t xml:space="preserve">Recharts + D3</w:t>
            </w:r>
          </w:p>
        </w:tc>
        <w:tc>
          <w:tcPr>
            <w:tcW w:type="dxa" w:w="4500"/>
            <w:shd w:fill="F9FAFB" w:val="clear"/>
            <w:vAlign w:val="center"/>
          </w:tcPr>
          <w:p>
            <w:pPr>
              <w:spacing w:after="60" w:before="60"/>
              <w:ind w:left="115"/>
            </w:pPr>
            <w:r>
              <w:rPr>
                <w:b w:val="false"/>
                <w:bCs w:val="false"/>
                <w:color w:val="4A4A4A"/>
                <w:sz w:val="20"/>
                <w:szCs w:val="20"/>
              </w:rPr>
              <w:t xml:space="preserve">Data visualization: line charts, heatmaps, treemaps for dashboards</w:t>
            </w:r>
          </w:p>
        </w:tc>
      </w:tr>
      <w:tr>
        <w:tc>
          <w:tcPr>
            <w:tcW w:type="dxa" w:w="4500"/>
            <w:shd w:fill="FFFFFF" w:val="clear"/>
            <w:vAlign w:val="center"/>
          </w:tcPr>
          <w:p>
            <w:pPr>
              <w:spacing w:after="60" w:before="60"/>
              <w:ind w:left="115"/>
            </w:pPr>
            <w:r>
              <w:rPr>
                <w:b w:val="false"/>
                <w:bCs w:val="false"/>
                <w:color w:val="4A4A4A"/>
                <w:sz w:val="20"/>
                <w:szCs w:val="20"/>
              </w:rPr>
              <w:t xml:space="preserve">AG Grid (Community)</w:t>
            </w:r>
          </w:p>
        </w:tc>
        <w:tc>
          <w:tcPr>
            <w:tcW w:type="dxa" w:w="4500"/>
            <w:shd w:fill="FFFFFF" w:val="clear"/>
            <w:vAlign w:val="center"/>
          </w:tcPr>
          <w:p>
            <w:pPr>
              <w:spacing w:after="60" w:before="60"/>
              <w:ind w:left="115"/>
            </w:pPr>
            <w:r>
              <w:rPr>
                <w:b w:val="false"/>
                <w:bCs w:val="false"/>
                <w:color w:val="4A4A4A"/>
                <w:sz w:val="20"/>
                <w:szCs w:val="20"/>
              </w:rPr>
              <w:t xml:space="preserve">High-performance data tables for Ministry and Regional dashboards (1M+ row virtual scroll)</w:t>
            </w:r>
          </w:p>
        </w:tc>
      </w:tr>
      <w:tr>
        <w:tc>
          <w:tcPr>
            <w:tcW w:type="dxa" w:w="4500"/>
            <w:shd w:fill="F9FAFB" w:val="clear"/>
            <w:vAlign w:val="center"/>
          </w:tcPr>
          <w:p>
            <w:pPr>
              <w:spacing w:after="60" w:before="60"/>
              <w:ind w:left="115"/>
            </w:pPr>
            <w:r>
              <w:rPr>
                <w:b w:val="false"/>
                <w:bCs w:val="false"/>
                <w:color w:val="4A4A4A"/>
                <w:sz w:val="20"/>
                <w:szCs w:val="20"/>
              </w:rPr>
              <w:t xml:space="preserve">Tailwind CSS v4</w:t>
            </w:r>
          </w:p>
        </w:tc>
        <w:tc>
          <w:tcPr>
            <w:tcW w:type="dxa" w:w="4500"/>
            <w:shd w:fill="F9FAFB" w:val="clear"/>
            <w:vAlign w:val="center"/>
          </w:tcPr>
          <w:p>
            <w:pPr>
              <w:spacing w:after="60" w:before="60"/>
              <w:ind w:left="115"/>
            </w:pPr>
            <w:r>
              <w:rPr>
                <w:b w:val="false"/>
                <w:bCs w:val="false"/>
                <w:color w:val="4A4A4A"/>
                <w:sz w:val="20"/>
                <w:szCs w:val="20"/>
              </w:rPr>
              <w:t xml:space="preserve">Utility CSS. Design tokens enforced via a shared `edugraph.config.ts`</w:t>
            </w:r>
          </w:p>
        </w:tc>
      </w:tr>
      <w:tr>
        <w:tc>
          <w:tcPr>
            <w:tcW w:type="dxa" w:w="4500"/>
            <w:shd w:fill="FFFFFF" w:val="clear"/>
            <w:vAlign w:val="center"/>
          </w:tcPr>
          <w:p>
            <w:pPr>
              <w:spacing w:after="60" w:before="60"/>
              <w:ind w:left="115"/>
            </w:pPr>
            <w:r>
              <w:rPr>
                <w:b w:val="false"/>
                <w:bCs w:val="false"/>
                <w:color w:val="4A4A4A"/>
                <w:sz w:val="20"/>
                <w:szCs w:val="20"/>
              </w:rPr>
              <w:t xml:space="preserve">Radix UI</w:t>
            </w:r>
          </w:p>
        </w:tc>
        <w:tc>
          <w:tcPr>
            <w:tcW w:type="dxa" w:w="4500"/>
            <w:shd w:fill="FFFFFF" w:val="clear"/>
            <w:vAlign w:val="center"/>
          </w:tcPr>
          <w:p>
            <w:pPr>
              <w:spacing w:after="60" w:before="60"/>
              <w:ind w:left="115"/>
            </w:pPr>
            <w:r>
              <w:rPr>
                <w:b w:val="false"/>
                <w:bCs w:val="false"/>
                <w:color w:val="4A4A4A"/>
                <w:sz w:val="20"/>
                <w:szCs w:val="20"/>
              </w:rPr>
              <w:t xml:space="preserve">Accessible headless components (dialogs, dropdowns, tooltips) — WCAG 2.1 AA</w:t>
            </w:r>
          </w:p>
        </w:tc>
      </w:tr>
      <w:tr>
        <w:tc>
          <w:tcPr>
            <w:tcW w:type="dxa" w:w="4500"/>
            <w:shd w:fill="F9FAFB" w:val="clear"/>
            <w:vAlign w:val="center"/>
          </w:tcPr>
          <w:p>
            <w:pPr>
              <w:spacing w:after="60" w:before="60"/>
              <w:ind w:left="115"/>
            </w:pPr>
            <w:r>
              <w:rPr>
                <w:b w:val="false"/>
                <w:bCs w:val="false"/>
                <w:color w:val="4A4A4A"/>
                <w:sz w:val="20"/>
                <w:szCs w:val="20"/>
              </w:rPr>
              <w:t xml:space="preserve">Zod</w:t>
            </w:r>
          </w:p>
        </w:tc>
        <w:tc>
          <w:tcPr>
            <w:tcW w:type="dxa" w:w="4500"/>
            <w:shd w:fill="F9FAFB" w:val="clear"/>
            <w:vAlign w:val="center"/>
          </w:tcPr>
          <w:p>
            <w:pPr>
              <w:spacing w:after="60" w:before="60"/>
              <w:ind w:left="115"/>
            </w:pPr>
            <w:r>
              <w:rPr>
                <w:b w:val="false"/>
                <w:bCs w:val="false"/>
                <w:color w:val="4A4A4A"/>
                <w:sz w:val="20"/>
                <w:szCs w:val="20"/>
              </w:rPr>
              <w:t xml:space="preserve">Runtime schema validation on all API responses — prevents silent type drift</w:t>
            </w:r>
          </w:p>
        </w:tc>
      </w:tr>
      <w:tr>
        <w:tc>
          <w:tcPr>
            <w:tcW w:type="dxa" w:w="4500"/>
            <w:shd w:fill="FFFFFF" w:val="clear"/>
            <w:vAlign w:val="center"/>
          </w:tcPr>
          <w:p>
            <w:pPr>
              <w:spacing w:after="60" w:before="60"/>
              <w:ind w:left="115"/>
            </w:pPr>
            <w:r>
              <w:rPr>
                <w:b w:val="false"/>
                <w:bCs w:val="false"/>
                <w:color w:val="4A4A4A"/>
                <w:sz w:val="20"/>
                <w:szCs w:val="20"/>
              </w:rPr>
              <w:t xml:space="preserve">i18next</w:t>
            </w:r>
          </w:p>
        </w:tc>
        <w:tc>
          <w:tcPr>
            <w:tcW w:type="dxa" w:w="4500"/>
            <w:shd w:fill="FFFFFF" w:val="clear"/>
            <w:vAlign w:val="center"/>
          </w:tcPr>
          <w:p>
            <w:pPr>
              <w:spacing w:after="60" w:before="60"/>
              <w:ind w:left="115"/>
            </w:pPr>
            <w:r>
              <w:rPr>
                <w:b w:val="false"/>
                <w:bCs w:val="false"/>
                <w:color w:val="4A4A4A"/>
                <w:sz w:val="20"/>
                <w:szCs w:val="20"/>
              </w:rPr>
              <w:t xml:space="preserve">Internationalization: Amharic, English, Oromo (Afaan Oromoo)</w:t>
            </w:r>
          </w:p>
        </w:tc>
      </w:tr>
      <w:tr>
        <w:tc>
          <w:tcPr>
            <w:tcW w:type="dxa" w:w="4500"/>
            <w:shd w:fill="F9FAFB" w:val="clear"/>
            <w:vAlign w:val="center"/>
          </w:tcPr>
          <w:p>
            <w:pPr>
              <w:spacing w:after="60" w:before="60"/>
              <w:ind w:left="115"/>
            </w:pPr>
            <w:r>
              <w:rPr>
                <w:b w:val="false"/>
                <w:bCs w:val="false"/>
                <w:color w:val="4A4A4A"/>
                <w:sz w:val="20"/>
                <w:szCs w:val="20"/>
              </w:rPr>
              <w:t xml:space="preserve">Workbox (PWA)</w:t>
            </w:r>
          </w:p>
        </w:tc>
        <w:tc>
          <w:tcPr>
            <w:tcW w:type="dxa" w:w="4500"/>
            <w:shd w:fill="F9FAFB" w:val="clear"/>
            <w:vAlign w:val="center"/>
          </w:tcPr>
          <w:p>
            <w:pPr>
              <w:spacing w:after="60" w:before="60"/>
              <w:ind w:left="115"/>
            </w:pPr>
            <w:r>
              <w:rPr>
                <w:b w:val="false"/>
                <w:bCs w:val="false"/>
                <w:color w:val="4A4A4A"/>
                <w:sz w:val="20"/>
                <w:szCs w:val="20"/>
              </w:rPr>
              <w:t xml:space="preserve">Service worker for offline caching of static assets and critical API responses</w:t>
            </w:r>
          </w:p>
        </w:tc>
      </w:tr>
    </w:tbl>
    <w:p>
      <w:pPr>
        <w:pStyle w:val="Heading2"/>
        <w:spacing w:after="120" w:before="320"/>
      </w:pPr>
      <w:r>
        <w:t xml:space="preserve">2.3 Role-Based Dashboard Routing</w:t>
      </w:r>
    </w:p>
    <w:p>
      <w:pPr>
        <w:spacing w:after="60" w:before="60"/>
        <w:ind w:left="0"/>
      </w:pPr>
      <w:r>
        <w:rPr>
          <w:color w:val="4A4A4A"/>
          <w:sz w:val="22"/>
          <w:szCs w:val="22"/>
        </w:rPr>
        <w:t xml:space="preserve">Each stakeholder role gets a dedicated route namespace, lazy-loaded on demand. Route guards check the JWT role claim before rendering.</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/student/*         → Student learning dashboard</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/teacher/*         → Assessment intelligence dashboard</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/school-admin/*    → Quality and compliance monitor</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/regional/*        → Regional performance analytics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/ministry/*        → National intelligence dashboard</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/career/*          → Career intelligence portal</w:t>
      </w:r>
    </w:p>
    <w:p>
      <w:pPr>
        <w:pStyle w:val="Heading2"/>
        <w:spacing w:after="120" w:before="320"/>
      </w:pPr>
      <w:r>
        <w:t xml:space="preserve">2.4 State Management Strategy</w:t>
      </w:r>
    </w:p>
    <w:p>
      <w:pPr>
        <w:pStyle w:val="ListParagraph"/>
        <w:numPr>
          <w:ilvl w:val="0"/>
          <w:numId w:val="2"/>
        </w:numPr>
        <w:spacing w:after="40" w:before="40"/>
      </w:pPr>
      <w:r>
        <w:rPr>
          <w:color w:val="4A4A4A"/>
          <w:sz w:val="21"/>
          <w:szCs w:val="21"/>
        </w:rPr>
        <w:t xml:space="preserve">Server state (API data): TanStack Query with stale-while-revalidate. Cache keys scoped by user ID and tenant.</w:t>
      </w:r>
    </w:p>
    <w:p>
      <w:pPr>
        <w:pStyle w:val="ListParagraph"/>
        <w:numPr>
          <w:ilvl w:val="0"/>
          <w:numId w:val="2"/>
        </w:numPr>
        <w:spacing w:after="40" w:before="40"/>
      </w:pPr>
      <w:r>
        <w:rPr>
          <w:color w:val="4A4A4A"/>
          <w:sz w:val="21"/>
          <w:szCs w:val="21"/>
        </w:rPr>
        <w:t xml:space="preserve">Form state: React Hook Form + Zod schemas. All forms validated client-side before submission.</w:t>
      </w:r>
    </w:p>
    <w:p>
      <w:pPr>
        <w:pStyle w:val="ListParagraph"/>
        <w:numPr>
          <w:ilvl w:val="0"/>
          <w:numId w:val="2"/>
        </w:numPr>
        <w:spacing w:after="40" w:before="40"/>
      </w:pPr>
      <w:r>
        <w:rPr>
          <w:color w:val="4A4A4A"/>
          <w:sz w:val="21"/>
          <w:szCs w:val="21"/>
        </w:rPr>
        <w:t xml:space="preserve">UI state (modals, sidebar, theme): Zustand atoms. Never mixed with server state.</w:t>
      </w:r>
    </w:p>
    <w:p>
      <w:pPr>
        <w:pStyle w:val="ListParagraph"/>
        <w:numPr>
          <w:ilvl w:val="0"/>
          <w:numId w:val="2"/>
        </w:numPr>
        <w:spacing w:after="40" w:before="40"/>
      </w:pPr>
      <w:r>
        <w:rPr>
          <w:color w:val="4A4A4A"/>
          <w:sz w:val="21"/>
          <w:szCs w:val="21"/>
        </w:rPr>
        <w:t xml:space="preserve">Offline state: IndexedDB via Dexie.js for locally cached student responses. Syncs via ElectricSQL on reconnect.</w:t>
      </w:r>
    </w:p>
    <w:p>
      <w:pPr>
        <w:pStyle w:val="Heading2"/>
        <w:spacing w:after="120" w:before="320"/>
      </w:pPr>
      <w:r>
        <w:t xml:space="preserve">2.5 Offline PWA Capability</w:t>
      </w:r>
    </w:p>
    <w:p>
      <w:pPr>
        <w:spacing w:after="60" w:before="60"/>
        <w:ind w:left="0"/>
      </w:pPr>
      <w:r>
        <w:rPr>
          <w:color w:val="4A4A4A"/>
          <w:sz w:val="22"/>
          <w:szCs w:val="22"/>
        </w:rPr>
        <w:t xml:space="preserve">The PWA operates at three levels of offline support:</w:t>
      </w:r>
    </w:p>
    <w:p>
      <w:pPr>
        <w:pStyle w:val="ListParagraph"/>
        <w:numPr>
          <w:ilvl w:val="0"/>
          <w:numId w:val="2"/>
        </w:numPr>
        <w:spacing w:after="40" w:before="40"/>
      </w:pPr>
      <w:r>
        <w:rPr>
          <w:color w:val="4A4A4A"/>
          <w:sz w:val="21"/>
          <w:szCs w:val="21"/>
        </w:rPr>
        <w:t xml:space="preserve">Level 1 — Static shell: all UI assets cached by Workbox. App loads and navigates offline.</w:t>
      </w:r>
    </w:p>
    <w:p>
      <w:pPr>
        <w:pStyle w:val="ListParagraph"/>
        <w:numPr>
          <w:ilvl w:val="0"/>
          <w:numId w:val="2"/>
        </w:numPr>
        <w:spacing w:after="40" w:before="40"/>
      </w:pPr>
      <w:r>
        <w:rPr>
          <w:color w:val="4A4A4A"/>
          <w:sz w:val="21"/>
          <w:szCs w:val="21"/>
        </w:rPr>
        <w:t xml:space="preserve">Level 2 — Read cache: last-fetched data for the student's own profile, study plan, and gap analysis is persisted in IndexedDB. Dashboard renders stale data with a banner indicating offline mode.</w:t>
      </w:r>
    </w:p>
    <w:p>
      <w:pPr>
        <w:pStyle w:val="ListParagraph"/>
        <w:numPr>
          <w:ilvl w:val="0"/>
          <w:numId w:val="2"/>
        </w:numPr>
        <w:spacing w:after="40" w:before="40"/>
      </w:pPr>
      <w:r>
        <w:rPr>
          <w:color w:val="4A4A4A"/>
          <w:sz w:val="21"/>
          <w:szCs w:val="21"/>
        </w:rPr>
        <w:t xml:space="preserve">Level 3 — Write queue: student exam submissions and answers written to IndexedDB. On reconnect, TanStack Query's background mutation queue flushes these to the API in order.</w:t>
      </w:r>
    </w:p>
    <w:p>
      <w:pPr>
        <w:pStyle w:val="Heading2"/>
        <w:spacing w:after="120" w:before="320"/>
      </w:pPr>
      <w:r>
        <w:t xml:space="preserve">2.6 Performance Targets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Metric</w:t>
            </w:r>
          </w:p>
        </w:tc>
        <w:tc>
          <w:tcPr>
            <w:tcW w:type="dxa" w:w="4500"/>
            <w:shd w:fill="1A4A7A" w:val="clear"/>
            <w:vAlign w:val="center"/>
          </w:tcPr>
          <w:p>
            <w:pPr>
              <w:spacing w:after="60" w:before="60"/>
              <w:ind w:left="115"/>
            </w:pPr>
            <w:r>
              <w:rPr>
                <w:b/>
                <w:bCs/>
                <w:color w:val="FFFFFF"/>
                <w:sz w:val="20"/>
                <w:szCs w:val="20"/>
              </w:rPr>
              <w:t xml:space="preserve">Target</w:t>
            </w:r>
          </w:p>
        </w:tc>
      </w:tr>
      <w:tr>
        <w:tc>
          <w:tcPr>
            <w:tcW w:type="dxa" w:w="4500"/>
            <w:shd w:fill="FFFFFF" w:val="clear"/>
            <w:vAlign w:val="center"/>
          </w:tcPr>
          <w:p>
            <w:pPr>
              <w:spacing w:after="60" w:before="60"/>
              <w:ind w:left="115"/>
            </w:pPr>
            <w:r>
              <w:rPr>
                <w:b w:val="false"/>
                <w:bCs w:val="false"/>
                <w:color w:val="4A4A4A"/>
                <w:sz w:val="20"/>
                <w:szCs w:val="20"/>
              </w:rPr>
              <w:t xml:space="preserve">First Contentful Paint</w:t>
            </w:r>
          </w:p>
        </w:tc>
        <w:tc>
          <w:tcPr>
            <w:tcW w:type="dxa" w:w="4500"/>
            <w:shd w:fill="FFFFFF" w:val="clear"/>
            <w:vAlign w:val="center"/>
          </w:tcPr>
          <w:p>
            <w:pPr>
              <w:spacing w:after="60" w:before="60"/>
              <w:ind w:left="115"/>
            </w:pPr>
            <w:r>
              <w:rPr>
                <w:b w:val="false"/>
                <w:bCs w:val="false"/>
                <w:color w:val="4A4A4A"/>
                <w:sz w:val="20"/>
                <w:szCs w:val="20"/>
              </w:rPr>
              <w:t xml:space="preserve">&lt; 1.2s (CDN-cached assets)</w:t>
            </w:r>
          </w:p>
        </w:tc>
      </w:tr>
      <w:tr>
        <w:tc>
          <w:tcPr>
            <w:tcW w:type="dxa" w:w="4500"/>
            <w:shd w:fill="F9FAFB" w:val="clear"/>
            <w:vAlign w:val="center"/>
          </w:tcPr>
          <w:p>
            <w:pPr>
              <w:spacing w:after="60" w:before="60"/>
              <w:ind w:left="115"/>
            </w:pPr>
            <w:r>
              <w:rPr>
                <w:b w:val="false"/>
                <w:bCs w:val="false"/>
                <w:color w:val="4A4A4A"/>
                <w:sz w:val="20"/>
                <w:szCs w:val="20"/>
              </w:rPr>
              <w:t xml:space="preserve">Largest Contentful Paint</w:t>
            </w:r>
          </w:p>
        </w:tc>
        <w:tc>
          <w:tcPr>
            <w:tcW w:type="dxa" w:w="4500"/>
            <w:shd w:fill="F9FAFB" w:val="clear"/>
            <w:vAlign w:val="center"/>
          </w:tcPr>
          <w:p>
            <w:pPr>
              <w:spacing w:after="60" w:before="60"/>
              <w:ind w:left="115"/>
            </w:pPr>
            <w:r>
              <w:rPr>
                <w:b w:val="false"/>
                <w:bCs w:val="false"/>
                <w:color w:val="4A4A4A"/>
                <w:sz w:val="20"/>
                <w:szCs w:val="20"/>
              </w:rPr>
              <w:t xml:space="preserve">&lt; 2.5s (Core Web Vital)</w:t>
            </w:r>
          </w:p>
        </w:tc>
      </w:tr>
      <w:tr>
        <w:tc>
          <w:tcPr>
            <w:tcW w:type="dxa" w:w="4500"/>
            <w:shd w:fill="FFFFFF" w:val="clear"/>
            <w:vAlign w:val="center"/>
          </w:tcPr>
          <w:p>
            <w:pPr>
              <w:spacing w:after="60" w:before="60"/>
              <w:ind w:left="115"/>
            </w:pPr>
            <w:r>
              <w:rPr>
                <w:b w:val="false"/>
                <w:bCs w:val="false"/>
                <w:color w:val="4A4A4A"/>
                <w:sz w:val="20"/>
                <w:szCs w:val="20"/>
              </w:rPr>
              <w:t xml:space="preserve">Time to Interactive</w:t>
            </w:r>
          </w:p>
        </w:tc>
        <w:tc>
          <w:tcPr>
            <w:tcW w:type="dxa" w:w="4500"/>
            <w:shd w:fill="FFFFFF" w:val="clear"/>
            <w:vAlign w:val="center"/>
          </w:tcPr>
          <w:p>
            <w:pPr>
              <w:spacing w:after="60" w:before="60"/>
              <w:ind w:left="115"/>
            </w:pPr>
            <w:r>
              <w:rPr>
                <w:b w:val="false"/>
                <w:bCs w:val="false"/>
                <w:color w:val="4A4A4A"/>
                <w:sz w:val="20"/>
                <w:szCs w:val="20"/>
              </w:rPr>
              <w:t xml:space="preserve">&lt; 3.5s on 3G connection</w:t>
            </w:r>
          </w:p>
        </w:tc>
      </w:tr>
      <w:tr>
        <w:tc>
          <w:tcPr>
            <w:tcW w:type="dxa" w:w="4500"/>
            <w:shd w:fill="F9FAFB" w:val="clear"/>
            <w:vAlign w:val="center"/>
          </w:tcPr>
          <w:p>
            <w:pPr>
              <w:spacing w:after="60" w:before="60"/>
              <w:ind w:left="115"/>
            </w:pPr>
            <w:r>
              <w:rPr>
                <w:b w:val="false"/>
                <w:bCs w:val="false"/>
                <w:color w:val="4A4A4A"/>
                <w:sz w:val="20"/>
                <w:szCs w:val="20"/>
              </w:rPr>
              <w:t xml:space="preserve">Bundle size (initial)</w:t>
            </w:r>
          </w:p>
        </w:tc>
        <w:tc>
          <w:tcPr>
            <w:tcW w:type="dxa" w:w="4500"/>
            <w:shd w:fill="F9FAFB" w:val="clear"/>
            <w:vAlign w:val="center"/>
          </w:tcPr>
          <w:p>
            <w:pPr>
              <w:spacing w:after="60" w:before="60"/>
              <w:ind w:left="115"/>
            </w:pPr>
            <w:r>
              <w:rPr>
                <w:b w:val="false"/>
                <w:bCs w:val="false"/>
                <w:color w:val="4A4A4A"/>
                <w:sz w:val="20"/>
                <w:szCs w:val="20"/>
              </w:rPr>
              <w:t xml:space="preserve">&lt; 180KB gzipped (code split per route)</w:t>
            </w:r>
          </w:p>
        </w:tc>
      </w:tr>
      <w:tr>
        <w:tc>
          <w:tcPr>
            <w:tcW w:type="dxa" w:w="4500"/>
            <w:shd w:fill="FFFFFF" w:val="clear"/>
            <w:vAlign w:val="center"/>
          </w:tcPr>
          <w:p>
            <w:pPr>
              <w:spacing w:after="60" w:before="60"/>
              <w:ind w:left="115"/>
            </w:pPr>
            <w:r>
              <w:rPr>
                <w:b w:val="false"/>
                <w:bCs w:val="false"/>
                <w:color w:val="4A4A4A"/>
                <w:sz w:val="20"/>
                <w:szCs w:val="20"/>
              </w:rPr>
              <w:t xml:space="preserve">Ministry dashboard 1M rows</w:t>
            </w:r>
          </w:p>
        </w:tc>
        <w:tc>
          <w:tcPr>
            <w:tcW w:type="dxa" w:w="4500"/>
            <w:shd w:fill="FFFFFF" w:val="clear"/>
            <w:vAlign w:val="center"/>
          </w:tcPr>
          <w:p>
            <w:pPr>
              <w:spacing w:after="60" w:before="60"/>
              <w:ind w:left="115"/>
            </w:pPr>
            <w:r>
              <w:rPr>
                <w:b w:val="false"/>
                <w:bCs w:val="false"/>
                <w:color w:val="4A4A4A"/>
                <w:sz w:val="20"/>
                <w:szCs w:val="20"/>
              </w:rPr>
              <w:t xml:space="preserve">&lt; 200ms virtual scroll render (AG Grid)</w:t>
            </w:r>
          </w:p>
        </w:tc>
      </w:tr>
      <w:tr>
        <w:tc>
          <w:tcPr>
            <w:tcW w:type="dxa" w:w="4500"/>
            <w:shd w:fill="F9FAFB" w:val="clear"/>
            <w:vAlign w:val="center"/>
          </w:tcPr>
          <w:p>
            <w:pPr>
              <w:spacing w:after="60" w:before="60"/>
              <w:ind w:left="115"/>
            </w:pPr>
            <w:r>
              <w:rPr>
                <w:b w:val="false"/>
                <w:bCs w:val="false"/>
                <w:color w:val="4A4A4A"/>
                <w:sz w:val="20"/>
                <w:szCs w:val="20"/>
              </w:rPr>
              <w:t xml:space="preserve">Offline startup</w:t>
            </w:r>
          </w:p>
        </w:tc>
        <w:tc>
          <w:tcPr>
            <w:tcW w:type="dxa" w:w="4500"/>
            <w:shd w:fill="F9FAFB" w:val="clear"/>
            <w:vAlign w:val="center"/>
          </w:tcPr>
          <w:p>
            <w:pPr>
              <w:spacing w:after="60" w:before="60"/>
              <w:ind w:left="115"/>
            </w:pPr>
            <w:r>
              <w:rPr>
                <w:b w:val="false"/>
                <w:bCs w:val="false"/>
                <w:color w:val="4A4A4A"/>
                <w:sz w:val="20"/>
                <w:szCs w:val="20"/>
              </w:rPr>
              <w:t xml:space="preserve">&lt; 0.8s (service worker serves shell instantly)</w:t>
            </w:r>
          </w:p>
        </w:tc>
      </w:tr>
    </w:tbl>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03 — API Gateway</w:t>
            </w:r>
          </w:p>
          <w:p>
            <w:pPr>
              <w:spacing w:after="80" w:before="40"/>
            </w:pPr>
            <w:r>
              <w:rPr>
                <w:i/>
                <w:iCs/>
                <w:color w:val="B3D4FF"/>
                <w:sz w:val="20"/>
                <w:szCs w:val="20"/>
              </w:rPr>
              <w:t xml:space="preserve">Kong Gateway — traffic ingress, authentication, and rate limiting</w:t>
            </w:r>
          </w:p>
        </w:tc>
      </w:tr>
    </w:tbl>
    <w:p>
      <w:pPr>
        <w:spacing w:after="60" w:before="60"/>
      </w:pPr>
    </w:p>
    <w:p>
      <w:pPr>
        <w:pStyle w:val="Heading2"/>
        <w:spacing w:after="120" w:before="320"/>
      </w:pPr>
      <w:r>
        <w:t xml:space="preserve">3.1 Gateway Role</w:t>
      </w:r>
    </w:p>
    <w:p>
      <w:pPr>
        <w:spacing w:after="60" w:before="60"/>
        <w:ind w:left="0"/>
      </w:pPr>
      <w:r>
        <w:rPr>
          <w:color w:val="4A4A4A"/>
          <w:sz w:val="22"/>
          <w:szCs w:val="22"/>
        </w:rPr>
        <w:t xml:space="preserve">Kong Gateway is the single ingress point for all client traffic. No service is reachable from the public internet except through Kong. It handles: SSL/TLS termination, JWT validation, rate limiting, request routing, CORS, IP allowlisting for Ministry routes, and audit logging of every request.</w:t>
      </w:r>
    </w:p>
    <w:p>
      <w:pPr>
        <w:pStyle w:val="Heading2"/>
        <w:spacing w:after="120" w:before="320"/>
      </w:pPr>
      <w:r>
        <w:t xml:space="preserve">3.2 Kong Plugins Enabled</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Plugin</w:t>
            </w:r>
          </w:p>
        </w:tc>
        <w:tc>
          <w:tcPr>
            <w:tcW w:type="dxa" w:w="4500"/>
            <w:shd w:fill="1A4A7A" w:val="clear"/>
            <w:vAlign w:val="center"/>
          </w:tcPr>
          <w:p>
            <w:pPr>
              <w:spacing w:after="60" w:before="60"/>
              <w:ind w:left="115"/>
            </w:pPr>
            <w:r>
              <w:rPr>
                <w:b/>
                <w:bCs/>
                <w:color w:val="FFFFFF"/>
                <w:sz w:val="20"/>
                <w:szCs w:val="20"/>
              </w:rPr>
              <w:t xml:space="preserve">Configuration</w:t>
            </w:r>
          </w:p>
        </w:tc>
      </w:tr>
      <w:tr>
        <w:tc>
          <w:tcPr>
            <w:tcW w:type="dxa" w:w="4500"/>
            <w:shd w:fill="FFFFFF" w:val="clear"/>
            <w:vAlign w:val="center"/>
          </w:tcPr>
          <w:p>
            <w:pPr>
              <w:spacing w:after="60" w:before="60"/>
              <w:ind w:left="115"/>
            </w:pPr>
            <w:r>
              <w:rPr>
                <w:b w:val="false"/>
                <w:bCs w:val="false"/>
                <w:color w:val="4A4A4A"/>
                <w:sz w:val="20"/>
                <w:szCs w:val="20"/>
              </w:rPr>
              <w:t xml:space="preserve">jwt</w:t>
            </w:r>
          </w:p>
        </w:tc>
        <w:tc>
          <w:tcPr>
            <w:tcW w:type="dxa" w:w="4500"/>
            <w:shd w:fill="FFFFFF" w:val="clear"/>
            <w:vAlign w:val="center"/>
          </w:tcPr>
          <w:p>
            <w:pPr>
              <w:spacing w:after="60" w:before="60"/>
              <w:ind w:left="115"/>
            </w:pPr>
            <w:r>
              <w:rPr>
                <w:b w:val="false"/>
                <w:bCs w:val="false"/>
                <w:color w:val="4A4A4A"/>
                <w:sz w:val="20"/>
                <w:szCs w:val="20"/>
              </w:rPr>
              <w:t xml:space="preserve">Validates RS256-signed JWTs. Public key fetched from Vault on startup.</w:t>
            </w:r>
          </w:p>
        </w:tc>
      </w:tr>
      <w:tr>
        <w:tc>
          <w:tcPr>
            <w:tcW w:type="dxa" w:w="4500"/>
            <w:shd w:fill="F9FAFB" w:val="clear"/>
            <w:vAlign w:val="center"/>
          </w:tcPr>
          <w:p>
            <w:pPr>
              <w:spacing w:after="60" w:before="60"/>
              <w:ind w:left="115"/>
            </w:pPr>
            <w:r>
              <w:rPr>
                <w:b w:val="false"/>
                <w:bCs w:val="false"/>
                <w:color w:val="4A4A4A"/>
                <w:sz w:val="20"/>
                <w:szCs w:val="20"/>
              </w:rPr>
              <w:t xml:space="preserve">rate-limiting-advanced</w:t>
            </w:r>
          </w:p>
        </w:tc>
        <w:tc>
          <w:tcPr>
            <w:tcW w:type="dxa" w:w="4500"/>
            <w:shd w:fill="F9FAFB" w:val="clear"/>
            <w:vAlign w:val="center"/>
          </w:tcPr>
          <w:p>
            <w:pPr>
              <w:spacing w:after="60" w:before="60"/>
              <w:ind w:left="115"/>
            </w:pPr>
            <w:r>
              <w:rPr>
                <w:b w:val="false"/>
                <w:bCs w:val="false"/>
                <w:color w:val="4A4A4A"/>
                <w:sz w:val="20"/>
                <w:szCs w:val="20"/>
              </w:rPr>
              <w:t xml:space="preserve">Per-user: 1000 req/min students, 500 req/min teachers, 200 req/min admins. Burst allowed 2×.</w:t>
            </w:r>
          </w:p>
        </w:tc>
      </w:tr>
      <w:tr>
        <w:tc>
          <w:tcPr>
            <w:tcW w:type="dxa" w:w="4500"/>
            <w:shd w:fill="FFFFFF" w:val="clear"/>
            <w:vAlign w:val="center"/>
          </w:tcPr>
          <w:p>
            <w:pPr>
              <w:spacing w:after="60" w:before="60"/>
              <w:ind w:left="115"/>
            </w:pPr>
            <w:r>
              <w:rPr>
                <w:b w:val="false"/>
                <w:bCs w:val="false"/>
                <w:color w:val="4A4A4A"/>
                <w:sz w:val="20"/>
                <w:szCs w:val="20"/>
              </w:rPr>
              <w:t xml:space="preserve">ip-restriction</w:t>
            </w:r>
          </w:p>
        </w:tc>
        <w:tc>
          <w:tcPr>
            <w:tcW w:type="dxa" w:w="4500"/>
            <w:shd w:fill="FFFFFF" w:val="clear"/>
            <w:vAlign w:val="center"/>
          </w:tcPr>
          <w:p>
            <w:pPr>
              <w:spacing w:after="60" w:before="60"/>
              <w:ind w:left="115"/>
            </w:pPr>
            <w:r>
              <w:rPr>
                <w:b w:val="false"/>
                <w:bCs w:val="false"/>
                <w:color w:val="4A4A4A"/>
                <w:sz w:val="20"/>
                <w:szCs w:val="20"/>
              </w:rPr>
              <w:t xml:space="preserve">Ministry dashboard (/ministry/*) restricted to MoE IP ranges + VPN CIDR.</w:t>
            </w:r>
          </w:p>
        </w:tc>
      </w:tr>
      <w:tr>
        <w:tc>
          <w:tcPr>
            <w:tcW w:type="dxa" w:w="4500"/>
            <w:shd w:fill="F9FAFB" w:val="clear"/>
            <w:vAlign w:val="center"/>
          </w:tcPr>
          <w:p>
            <w:pPr>
              <w:spacing w:after="60" w:before="60"/>
              <w:ind w:left="115"/>
            </w:pPr>
            <w:r>
              <w:rPr>
                <w:b w:val="false"/>
                <w:bCs w:val="false"/>
                <w:color w:val="4A4A4A"/>
                <w:sz w:val="20"/>
                <w:szCs w:val="20"/>
              </w:rPr>
              <w:t xml:space="preserve">cors</w:t>
            </w:r>
          </w:p>
        </w:tc>
        <w:tc>
          <w:tcPr>
            <w:tcW w:type="dxa" w:w="4500"/>
            <w:shd w:fill="F9FAFB" w:val="clear"/>
            <w:vAlign w:val="center"/>
          </w:tcPr>
          <w:p>
            <w:pPr>
              <w:spacing w:after="60" w:before="60"/>
              <w:ind w:left="115"/>
            </w:pPr>
            <w:r>
              <w:rPr>
                <w:b w:val="false"/>
                <w:bCs w:val="false"/>
                <w:color w:val="4A4A4A"/>
                <w:sz w:val="20"/>
                <w:szCs w:val="20"/>
              </w:rPr>
              <w:t xml:space="preserve">Allowlist: edugraph.edu.et and school-local-*.edugraph.internal</w:t>
            </w:r>
          </w:p>
        </w:tc>
      </w:tr>
      <w:tr>
        <w:tc>
          <w:tcPr>
            <w:tcW w:type="dxa" w:w="4500"/>
            <w:shd w:fill="FFFFFF" w:val="clear"/>
            <w:vAlign w:val="center"/>
          </w:tcPr>
          <w:p>
            <w:pPr>
              <w:spacing w:after="60" w:before="60"/>
              <w:ind w:left="115"/>
            </w:pPr>
            <w:r>
              <w:rPr>
                <w:b w:val="false"/>
                <w:bCs w:val="false"/>
                <w:color w:val="4A4A4A"/>
                <w:sz w:val="20"/>
                <w:szCs w:val="20"/>
              </w:rPr>
              <w:t xml:space="preserve">request-size-limiting</w:t>
            </w:r>
          </w:p>
        </w:tc>
        <w:tc>
          <w:tcPr>
            <w:tcW w:type="dxa" w:w="4500"/>
            <w:shd w:fill="FFFFFF" w:val="clear"/>
            <w:vAlign w:val="center"/>
          </w:tcPr>
          <w:p>
            <w:pPr>
              <w:spacing w:after="60" w:before="60"/>
              <w:ind w:left="115"/>
            </w:pPr>
            <w:r>
              <w:rPr>
                <w:b w:val="false"/>
                <w:bCs w:val="false"/>
                <w:color w:val="4A4A4A"/>
                <w:sz w:val="20"/>
                <w:szCs w:val="20"/>
              </w:rPr>
              <w:t xml:space="preserve">Max 50MB (exam file uploads). Larger goes directly to presigned S3 URL.</w:t>
            </w:r>
          </w:p>
        </w:tc>
      </w:tr>
      <w:tr>
        <w:tc>
          <w:tcPr>
            <w:tcW w:type="dxa" w:w="4500"/>
            <w:shd w:fill="F9FAFB" w:val="clear"/>
            <w:vAlign w:val="center"/>
          </w:tcPr>
          <w:p>
            <w:pPr>
              <w:spacing w:after="60" w:before="60"/>
              <w:ind w:left="115"/>
            </w:pPr>
            <w:r>
              <w:rPr>
                <w:b w:val="false"/>
                <w:bCs w:val="false"/>
                <w:color w:val="4A4A4A"/>
                <w:sz w:val="20"/>
                <w:szCs w:val="20"/>
              </w:rPr>
              <w:t xml:space="preserve">response-ratelimiting</w:t>
            </w:r>
          </w:p>
        </w:tc>
        <w:tc>
          <w:tcPr>
            <w:tcW w:type="dxa" w:w="4500"/>
            <w:shd w:fill="F9FAFB" w:val="clear"/>
            <w:vAlign w:val="center"/>
          </w:tcPr>
          <w:p>
            <w:pPr>
              <w:spacing w:after="60" w:before="60"/>
              <w:ind w:left="115"/>
            </w:pPr>
            <w:r>
              <w:rPr>
                <w:b w:val="false"/>
                <w:bCs w:val="false"/>
                <w:color w:val="4A4A4A"/>
                <w:sz w:val="20"/>
                <w:szCs w:val="20"/>
              </w:rPr>
              <w:t xml:space="preserve">Prevent scraping of bulk student data via Ministry export endpoints.</w:t>
            </w:r>
          </w:p>
        </w:tc>
      </w:tr>
      <w:tr>
        <w:tc>
          <w:tcPr>
            <w:tcW w:type="dxa" w:w="4500"/>
            <w:shd w:fill="FFFFFF" w:val="clear"/>
            <w:vAlign w:val="center"/>
          </w:tcPr>
          <w:p>
            <w:pPr>
              <w:spacing w:after="60" w:before="60"/>
              <w:ind w:left="115"/>
            </w:pPr>
            <w:r>
              <w:rPr>
                <w:b w:val="false"/>
                <w:bCs w:val="false"/>
                <w:color w:val="4A4A4A"/>
                <w:sz w:val="20"/>
                <w:szCs w:val="20"/>
              </w:rPr>
              <w:t xml:space="preserve">prometheus</w:t>
            </w:r>
          </w:p>
        </w:tc>
        <w:tc>
          <w:tcPr>
            <w:tcW w:type="dxa" w:w="4500"/>
            <w:shd w:fill="FFFFFF" w:val="clear"/>
            <w:vAlign w:val="center"/>
          </w:tcPr>
          <w:p>
            <w:pPr>
              <w:spacing w:after="60" w:before="60"/>
              <w:ind w:left="115"/>
            </w:pPr>
            <w:r>
              <w:rPr>
                <w:b w:val="false"/>
                <w:bCs w:val="false"/>
                <w:color w:val="4A4A4A"/>
                <w:sz w:val="20"/>
                <w:szCs w:val="20"/>
              </w:rPr>
              <w:t xml:space="preserve">Exposes /metrics for Kong itself — request counts, latency P50/P95/P99 per route.</w:t>
            </w:r>
          </w:p>
        </w:tc>
      </w:tr>
      <w:tr>
        <w:tc>
          <w:tcPr>
            <w:tcW w:type="dxa" w:w="4500"/>
            <w:shd w:fill="F9FAFB" w:val="clear"/>
            <w:vAlign w:val="center"/>
          </w:tcPr>
          <w:p>
            <w:pPr>
              <w:spacing w:after="60" w:before="60"/>
              <w:ind w:left="115"/>
            </w:pPr>
            <w:r>
              <w:rPr>
                <w:b w:val="false"/>
                <w:bCs w:val="false"/>
                <w:color w:val="4A4A4A"/>
                <w:sz w:val="20"/>
                <w:szCs w:val="20"/>
              </w:rPr>
              <w:t xml:space="preserve">file-log</w:t>
            </w:r>
          </w:p>
        </w:tc>
        <w:tc>
          <w:tcPr>
            <w:tcW w:type="dxa" w:w="4500"/>
            <w:shd w:fill="F9FAFB" w:val="clear"/>
            <w:vAlign w:val="center"/>
          </w:tcPr>
          <w:p>
            <w:pPr>
              <w:spacing w:after="60" w:before="60"/>
              <w:ind w:left="115"/>
            </w:pPr>
            <w:r>
              <w:rPr>
                <w:b w:val="false"/>
                <w:bCs w:val="false"/>
                <w:color w:val="4A4A4A"/>
                <w:sz w:val="20"/>
                <w:szCs w:val="20"/>
              </w:rPr>
              <w:t xml:space="preserve">Full request/response audit log to S3 (used for government audit trails).</w:t>
            </w:r>
          </w:p>
        </w:tc>
      </w:tr>
      <w:tr>
        <w:tc>
          <w:tcPr>
            <w:tcW w:type="dxa" w:w="4500"/>
            <w:shd w:fill="FFFFFF" w:val="clear"/>
            <w:vAlign w:val="center"/>
          </w:tcPr>
          <w:p>
            <w:pPr>
              <w:spacing w:after="60" w:before="60"/>
              <w:ind w:left="115"/>
            </w:pPr>
            <w:r>
              <w:rPr>
                <w:b w:val="false"/>
                <w:bCs w:val="false"/>
                <w:color w:val="4A4A4A"/>
                <w:sz w:val="20"/>
                <w:szCs w:val="20"/>
              </w:rPr>
              <w:t xml:space="preserve">openid-connect</w:t>
            </w:r>
          </w:p>
        </w:tc>
        <w:tc>
          <w:tcPr>
            <w:tcW w:type="dxa" w:w="4500"/>
            <w:shd w:fill="FFFFFF" w:val="clear"/>
            <w:vAlign w:val="center"/>
          </w:tcPr>
          <w:p>
            <w:pPr>
              <w:spacing w:after="60" w:before="60"/>
              <w:ind w:left="115"/>
            </w:pPr>
            <w:r>
              <w:rPr>
                <w:b w:val="false"/>
                <w:bCs w:val="false"/>
                <w:color w:val="4A4A4A"/>
                <w:sz w:val="20"/>
                <w:szCs w:val="20"/>
              </w:rPr>
              <w:t xml:space="preserve">SSO integration with MoE's existing Active Directory via OIDC federation.</w:t>
            </w:r>
          </w:p>
        </w:tc>
      </w:tr>
    </w:tbl>
    <w:p>
      <w:pPr>
        <w:pStyle w:val="Heading2"/>
        <w:spacing w:after="120" w:before="320"/>
      </w:pPr>
      <w:r>
        <w:t xml:space="preserve">3.3 Routing Rules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/api/v1/student/*     → Go Core API  :8080/student</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/api/v1/teacher/*     → Go Core API  :8080/teacher</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/api/v1/admin/*       → Go Core API  :8080/admin</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/api/v1/ministry/*    → Go Core API  :8080/ministry  [IP restricted]</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/api/v1/ai/*          → Python AI Service :8000</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/api/v1/sync/*        → ElectricSQL Sync Service :5133</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/ws/*                 → WebSocket Go API (real-time dashboard updates)</w:t>
      </w:r>
    </w:p>
    <w:p>
      <w:pPr>
        <w:pStyle w:val="Heading2"/>
        <w:spacing w:after="120" w:before="320"/>
      </w:pPr>
      <w:r>
        <w:t xml:space="preserve">3.4 TLS Configuration</w:t>
      </w:r>
    </w:p>
    <w:p>
      <w:pPr>
        <w:pStyle w:val="ListParagraph"/>
        <w:numPr>
          <w:ilvl w:val="0"/>
          <w:numId w:val="2"/>
        </w:numPr>
        <w:spacing w:after="40" w:before="40"/>
      </w:pPr>
      <w:r>
        <w:rPr>
          <w:color w:val="4A4A4A"/>
          <w:sz w:val="21"/>
          <w:szCs w:val="21"/>
        </w:rPr>
        <w:t xml:space="preserve">TLS 1.3 minimum. TLS 1.0 and 1.1 explicitly disabled.</w:t>
      </w:r>
    </w:p>
    <w:p>
      <w:pPr>
        <w:pStyle w:val="ListParagraph"/>
        <w:numPr>
          <w:ilvl w:val="0"/>
          <w:numId w:val="2"/>
        </w:numPr>
        <w:spacing w:after="40" w:before="40"/>
      </w:pPr>
      <w:r>
        <w:rPr>
          <w:color w:val="4A4A4A"/>
          <w:sz w:val="21"/>
          <w:szCs w:val="21"/>
        </w:rPr>
        <w:t xml:space="preserve">Certificates issued by Let's Encrypt (auto-renewed via cert-manager on Kubernetes).</w:t>
      </w:r>
    </w:p>
    <w:p>
      <w:pPr>
        <w:pStyle w:val="ListParagraph"/>
        <w:numPr>
          <w:ilvl w:val="0"/>
          <w:numId w:val="2"/>
        </w:numPr>
        <w:spacing w:after="40" w:before="40"/>
      </w:pPr>
      <w:r>
        <w:rPr>
          <w:color w:val="4A4A4A"/>
          <w:sz w:val="21"/>
          <w:szCs w:val="21"/>
        </w:rPr>
        <w:t xml:space="preserve">HSTS header: max-age=31536000; includeSubDomains; preload</w:t>
      </w:r>
    </w:p>
    <w:p>
      <w:pPr>
        <w:pStyle w:val="ListParagraph"/>
        <w:numPr>
          <w:ilvl w:val="0"/>
          <w:numId w:val="2"/>
        </w:numPr>
        <w:spacing w:after="40" w:before="40"/>
      </w:pPr>
      <w:r>
        <w:rPr>
          <w:color w:val="4A4A4A"/>
          <w:sz w:val="21"/>
          <w:szCs w:val="21"/>
        </w:rPr>
        <w:t xml:space="preserve">mTLS enforced between Kong and all upstream services (Kong acts as CA).</w:t>
      </w:r>
    </w:p>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04 — Core Backend API</w:t>
            </w:r>
          </w:p>
          <w:p>
            <w:pPr>
              <w:spacing w:after="80" w:before="40"/>
            </w:pPr>
            <w:r>
              <w:rPr>
                <w:i/>
                <w:iCs/>
                <w:color w:val="B3D4FF"/>
                <w:sz w:val="20"/>
                <w:szCs w:val="20"/>
              </w:rPr>
              <w:t xml:space="preserve">Go + Gin REST and WebSocket service</w:t>
            </w:r>
          </w:p>
        </w:tc>
      </w:tr>
    </w:tbl>
    <w:p>
      <w:pPr>
        <w:spacing w:after="60" w:before="60"/>
      </w:pPr>
    </w:p>
    <w:p>
      <w:pPr>
        <w:pStyle w:val="Heading2"/>
        <w:spacing w:after="120" w:before="320"/>
      </w:pPr>
      <w:r>
        <w:t xml:space="preserve">4.1 Why Go</w:t>
      </w:r>
    </w:p>
    <w:p>
      <w:pPr>
        <w:spacing w:after="60" w:before="60"/>
        <w:ind w:left="0"/>
      </w:pPr>
      <w:r>
        <w:rPr>
          <w:color w:val="4A4A4A"/>
          <w:sz w:val="22"/>
          <w:szCs w:val="22"/>
        </w:rPr>
        <w:t xml:space="preserve">Go is chosen for the core API over Node.js or Python for three reasons: goroutines handle 50,000+ concurrent WebSocket connections at under 2KB memory per connection (Node.js uses 8–10KB per connection); a single Go binary with no runtime dependency deploys trivially in a minimal container; and Go's type system catches the most common API bugs (null pointer, type mismatch) at compile time, not in production.</w:t>
      </w:r>
    </w:p>
    <w:p>
      <w:pPr>
        <w:pStyle w:val="Heading2"/>
        <w:spacing w:after="120" w:before="320"/>
      </w:pPr>
      <w:r>
        <w:t xml:space="preserve">4.2 Service Structure</w:t>
      </w:r>
    </w:p>
    <w:p>
      <w:pPr>
        <w:spacing w:after="60" w:before="60"/>
        <w:ind w:left="0"/>
      </w:pPr>
      <w:r>
        <w:rPr>
          <w:color w:val="4A4A4A"/>
          <w:sz w:val="22"/>
          <w:szCs w:val="22"/>
        </w:rPr>
        <w:t xml:space="preserve">The API is structured as a monolith with internal domain packages — not microservices — because the data model is highly relational and separating it would create chatty inter-service calls with no benefit at current scale. It will be split if individual domains exceed 100 req/sec sustained.</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cmd/api/main.go              ← entrypoint, dependency injection</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internal/student/            ← student domain: profile, gaps, study plan</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internal/teacher/            ← teacher domain: exams, assessments, class view</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internal/admin/              ← school admin: compliance, quality scores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internal/ministry/           ← ministry: national aggregates, policy engine</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internal/auth/               ← JWT issuance, refresh, RBAC middleware</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internal/sync/               ← offline sync queue handler</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internal/notification/       ← real-time push (WebSocket hub)</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internal/storage/            ← S3 presigned URL generation</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pkg/db/                      ← PostgreSQL pool (pgx v5)</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pkg/graph/                   ← Neo4j driver wrapper</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pkg/cache/                   ← Redis client wrapper</w:t>
      </w:r>
    </w:p>
    <w:p>
      <w:pPr>
        <w:pStyle w:val="Heading2"/>
        <w:spacing w:after="120" w:before="320"/>
      </w:pPr>
      <w:r>
        <w:t xml:space="preserve">4.3 Key Libraries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Package</w:t>
            </w:r>
          </w:p>
        </w:tc>
        <w:tc>
          <w:tcPr>
            <w:tcW w:type="dxa" w:w="4500"/>
            <w:shd w:fill="1A4A7A" w:val="clear"/>
            <w:vAlign w:val="center"/>
          </w:tcPr>
          <w:p>
            <w:pPr>
              <w:spacing w:after="60" w:before="60"/>
              <w:ind w:left="115"/>
            </w:pPr>
            <w:r>
              <w:rPr>
                <w:b/>
                <w:bCs/>
                <w:color w:val="FFFFFF"/>
                <w:sz w:val="20"/>
                <w:szCs w:val="20"/>
              </w:rPr>
              <w:t xml:space="preserve">Purpose</w:t>
            </w:r>
          </w:p>
        </w:tc>
      </w:tr>
      <w:tr>
        <w:tc>
          <w:tcPr>
            <w:tcW w:type="dxa" w:w="4500"/>
            <w:shd w:fill="FFFFFF" w:val="clear"/>
            <w:vAlign w:val="center"/>
          </w:tcPr>
          <w:p>
            <w:pPr>
              <w:spacing w:after="60" w:before="60"/>
              <w:ind w:left="115"/>
            </w:pPr>
            <w:r>
              <w:rPr>
                <w:b w:val="false"/>
                <w:bCs w:val="false"/>
                <w:color w:val="4A4A4A"/>
                <w:sz w:val="20"/>
                <w:szCs w:val="20"/>
              </w:rPr>
              <w:t xml:space="preserve">gin-gonic/gin</w:t>
            </w:r>
          </w:p>
        </w:tc>
        <w:tc>
          <w:tcPr>
            <w:tcW w:type="dxa" w:w="4500"/>
            <w:shd w:fill="FFFFFF" w:val="clear"/>
            <w:vAlign w:val="center"/>
          </w:tcPr>
          <w:p>
            <w:pPr>
              <w:spacing w:after="60" w:before="60"/>
              <w:ind w:left="115"/>
            </w:pPr>
            <w:r>
              <w:rPr>
                <w:b w:val="false"/>
                <w:bCs w:val="false"/>
                <w:color w:val="4A4A4A"/>
                <w:sz w:val="20"/>
                <w:szCs w:val="20"/>
              </w:rPr>
              <w:t xml:space="preserve">HTTP router. Chosen for performance (radix tree routing) and middleware ecosystem.</w:t>
            </w:r>
          </w:p>
        </w:tc>
      </w:tr>
      <w:tr>
        <w:tc>
          <w:tcPr>
            <w:tcW w:type="dxa" w:w="4500"/>
            <w:shd w:fill="F9FAFB" w:val="clear"/>
            <w:vAlign w:val="center"/>
          </w:tcPr>
          <w:p>
            <w:pPr>
              <w:spacing w:after="60" w:before="60"/>
              <w:ind w:left="115"/>
            </w:pPr>
            <w:r>
              <w:rPr>
                <w:b w:val="false"/>
                <w:bCs w:val="false"/>
                <w:color w:val="4A4A4A"/>
                <w:sz w:val="20"/>
                <w:szCs w:val="20"/>
              </w:rPr>
              <w:t xml:space="preserve">jackc/pgx v5</w:t>
            </w:r>
          </w:p>
        </w:tc>
        <w:tc>
          <w:tcPr>
            <w:tcW w:type="dxa" w:w="4500"/>
            <w:shd w:fill="F9FAFB" w:val="clear"/>
            <w:vAlign w:val="center"/>
          </w:tcPr>
          <w:p>
            <w:pPr>
              <w:spacing w:after="60" w:before="60"/>
              <w:ind w:left="115"/>
            </w:pPr>
            <w:r>
              <w:rPr>
                <w:b w:val="false"/>
                <w:bCs w:val="false"/>
                <w:color w:val="4A4A4A"/>
                <w:sz w:val="20"/>
                <w:szCs w:val="20"/>
              </w:rPr>
              <w:t xml:space="preserve">PostgreSQL driver. Native protocol, prepared statements, pgxpool for connection pooling.</w:t>
            </w:r>
          </w:p>
        </w:tc>
      </w:tr>
      <w:tr>
        <w:tc>
          <w:tcPr>
            <w:tcW w:type="dxa" w:w="4500"/>
            <w:shd w:fill="FFFFFF" w:val="clear"/>
            <w:vAlign w:val="center"/>
          </w:tcPr>
          <w:p>
            <w:pPr>
              <w:spacing w:after="60" w:before="60"/>
              <w:ind w:left="115"/>
            </w:pPr>
            <w:r>
              <w:rPr>
                <w:b w:val="false"/>
                <w:bCs w:val="false"/>
                <w:color w:val="4A4A4A"/>
                <w:sz w:val="20"/>
                <w:szCs w:val="20"/>
              </w:rPr>
              <w:t xml:space="preserve">neo4j/neo4j-go-driver v5</w:t>
            </w:r>
          </w:p>
        </w:tc>
        <w:tc>
          <w:tcPr>
            <w:tcW w:type="dxa" w:w="4500"/>
            <w:shd w:fill="FFFFFF" w:val="clear"/>
            <w:vAlign w:val="center"/>
          </w:tcPr>
          <w:p>
            <w:pPr>
              <w:spacing w:after="60" w:before="60"/>
              <w:ind w:left="115"/>
            </w:pPr>
            <w:r>
              <w:rPr>
                <w:b w:val="false"/>
                <w:bCs w:val="false"/>
                <w:color w:val="4A4A4A"/>
                <w:sz w:val="20"/>
                <w:szCs w:val="20"/>
              </w:rPr>
              <w:t xml:space="preserve">Official Neo4j driver. Bolt protocol, connection pooling, retry on transient errors.</w:t>
            </w:r>
          </w:p>
        </w:tc>
      </w:tr>
      <w:tr>
        <w:tc>
          <w:tcPr>
            <w:tcW w:type="dxa" w:w="4500"/>
            <w:shd w:fill="F9FAFB" w:val="clear"/>
            <w:vAlign w:val="center"/>
          </w:tcPr>
          <w:p>
            <w:pPr>
              <w:spacing w:after="60" w:before="60"/>
              <w:ind w:left="115"/>
            </w:pPr>
            <w:r>
              <w:rPr>
                <w:b w:val="false"/>
                <w:bCs w:val="false"/>
                <w:color w:val="4A4A4A"/>
                <w:sz w:val="20"/>
                <w:szCs w:val="20"/>
              </w:rPr>
              <w:t xml:space="preserve">redis/rueidis</w:t>
            </w:r>
          </w:p>
        </w:tc>
        <w:tc>
          <w:tcPr>
            <w:tcW w:type="dxa" w:w="4500"/>
            <w:shd w:fill="F9FAFB" w:val="clear"/>
            <w:vAlign w:val="center"/>
          </w:tcPr>
          <w:p>
            <w:pPr>
              <w:spacing w:after="60" w:before="60"/>
              <w:ind w:left="115"/>
            </w:pPr>
            <w:r>
              <w:rPr>
                <w:b w:val="false"/>
                <w:bCs w:val="false"/>
                <w:color w:val="4A4A4A"/>
                <w:sz w:val="20"/>
                <w:szCs w:val="20"/>
              </w:rPr>
              <w:t xml:space="preserve">Redis client. Pipeline-aware, safer than go-redis for high-throughput batch ops.</w:t>
            </w:r>
          </w:p>
        </w:tc>
      </w:tr>
      <w:tr>
        <w:tc>
          <w:tcPr>
            <w:tcW w:type="dxa" w:w="4500"/>
            <w:shd w:fill="FFFFFF" w:val="clear"/>
            <w:vAlign w:val="center"/>
          </w:tcPr>
          <w:p>
            <w:pPr>
              <w:spacing w:after="60" w:before="60"/>
              <w:ind w:left="115"/>
            </w:pPr>
            <w:r>
              <w:rPr>
                <w:b w:val="false"/>
                <w:bCs w:val="false"/>
                <w:color w:val="4A4A4A"/>
                <w:sz w:val="20"/>
                <w:szCs w:val="20"/>
              </w:rPr>
              <w:t xml:space="preserve">golang-jwt/jwt v5</w:t>
            </w:r>
          </w:p>
        </w:tc>
        <w:tc>
          <w:tcPr>
            <w:tcW w:type="dxa" w:w="4500"/>
            <w:shd w:fill="FFFFFF" w:val="clear"/>
            <w:vAlign w:val="center"/>
          </w:tcPr>
          <w:p>
            <w:pPr>
              <w:spacing w:after="60" w:before="60"/>
              <w:ind w:left="115"/>
            </w:pPr>
            <w:r>
              <w:rPr>
                <w:b w:val="false"/>
                <w:bCs w:val="false"/>
                <w:color w:val="4A4A4A"/>
                <w:sz w:val="20"/>
                <w:szCs w:val="20"/>
              </w:rPr>
              <w:t xml:space="preserve">RS256 JWT signing and validation. Keys loaded from Vault via envconsul sidecar.</w:t>
            </w:r>
          </w:p>
        </w:tc>
      </w:tr>
      <w:tr>
        <w:tc>
          <w:tcPr>
            <w:tcW w:type="dxa" w:w="4500"/>
            <w:shd w:fill="F9FAFB" w:val="clear"/>
            <w:vAlign w:val="center"/>
          </w:tcPr>
          <w:p>
            <w:pPr>
              <w:spacing w:after="60" w:before="60"/>
              <w:ind w:left="115"/>
            </w:pPr>
            <w:r>
              <w:rPr>
                <w:b w:val="false"/>
                <w:bCs w:val="false"/>
                <w:color w:val="4A4A4A"/>
                <w:sz w:val="20"/>
                <w:szCs w:val="20"/>
              </w:rPr>
              <w:t xml:space="preserve">go-playground/validator v10</w:t>
            </w:r>
          </w:p>
        </w:tc>
        <w:tc>
          <w:tcPr>
            <w:tcW w:type="dxa" w:w="4500"/>
            <w:shd w:fill="F9FAFB" w:val="clear"/>
            <w:vAlign w:val="center"/>
          </w:tcPr>
          <w:p>
            <w:pPr>
              <w:spacing w:after="60" w:before="60"/>
              <w:ind w:left="115"/>
            </w:pPr>
            <w:r>
              <w:rPr>
                <w:b w:val="false"/>
                <w:bCs w:val="false"/>
                <w:color w:val="4A4A4A"/>
                <w:sz w:val="20"/>
                <w:szCs w:val="20"/>
              </w:rPr>
              <w:t xml:space="preserve">Request body validation. Struct tags like `validate:"required,email"`.</w:t>
            </w:r>
          </w:p>
        </w:tc>
      </w:tr>
      <w:tr>
        <w:tc>
          <w:tcPr>
            <w:tcW w:type="dxa" w:w="4500"/>
            <w:shd w:fill="FFFFFF" w:val="clear"/>
            <w:vAlign w:val="center"/>
          </w:tcPr>
          <w:p>
            <w:pPr>
              <w:spacing w:after="60" w:before="60"/>
              <w:ind w:left="115"/>
            </w:pPr>
            <w:r>
              <w:rPr>
                <w:b w:val="false"/>
                <w:bCs w:val="false"/>
                <w:color w:val="4A4A4A"/>
                <w:sz w:val="20"/>
                <w:szCs w:val="20"/>
              </w:rPr>
              <w:t xml:space="preserve">uber-go/zap</w:t>
            </w:r>
          </w:p>
        </w:tc>
        <w:tc>
          <w:tcPr>
            <w:tcW w:type="dxa" w:w="4500"/>
            <w:shd w:fill="FFFFFF" w:val="clear"/>
            <w:vAlign w:val="center"/>
          </w:tcPr>
          <w:p>
            <w:pPr>
              <w:spacing w:after="60" w:before="60"/>
              <w:ind w:left="115"/>
            </w:pPr>
            <w:r>
              <w:rPr>
                <w:b w:val="false"/>
                <w:bCs w:val="false"/>
                <w:color w:val="4A4A4A"/>
                <w:sz w:val="20"/>
                <w:szCs w:val="20"/>
              </w:rPr>
              <w:t xml:space="preserve">Structured JSON logging. Zero-allocation hot path. Outputs to stdout for k8s log collection.</w:t>
            </w:r>
          </w:p>
        </w:tc>
      </w:tr>
      <w:tr>
        <w:tc>
          <w:tcPr>
            <w:tcW w:type="dxa" w:w="4500"/>
            <w:shd w:fill="F9FAFB" w:val="clear"/>
            <w:vAlign w:val="center"/>
          </w:tcPr>
          <w:p>
            <w:pPr>
              <w:spacing w:after="60" w:before="60"/>
              <w:ind w:left="115"/>
            </w:pPr>
            <w:r>
              <w:rPr>
                <w:b w:val="false"/>
                <w:bCs w:val="false"/>
                <w:color w:val="4A4A4A"/>
                <w:sz w:val="20"/>
                <w:szCs w:val="20"/>
              </w:rPr>
              <w:t xml:space="preserve">prometheus/client_golang</w:t>
            </w:r>
          </w:p>
        </w:tc>
        <w:tc>
          <w:tcPr>
            <w:tcW w:type="dxa" w:w="4500"/>
            <w:shd w:fill="F9FAFB" w:val="clear"/>
            <w:vAlign w:val="center"/>
          </w:tcPr>
          <w:p>
            <w:pPr>
              <w:spacing w:after="60" w:before="60"/>
              <w:ind w:left="115"/>
            </w:pPr>
            <w:r>
              <w:rPr>
                <w:b w:val="false"/>
                <w:bCs w:val="false"/>
                <w:color w:val="4A4A4A"/>
                <w:sz w:val="20"/>
                <w:szCs w:val="20"/>
              </w:rPr>
              <w:t xml:space="preserve">Exposes /metrics. Custom histograms per endpoint, DB query latency, cache hit rate.</w:t>
            </w:r>
          </w:p>
        </w:tc>
      </w:tr>
      <w:tr>
        <w:tc>
          <w:tcPr>
            <w:tcW w:type="dxa" w:w="4500"/>
            <w:shd w:fill="FFFFFF" w:val="clear"/>
            <w:vAlign w:val="center"/>
          </w:tcPr>
          <w:p>
            <w:pPr>
              <w:spacing w:after="60" w:before="60"/>
              <w:ind w:left="115"/>
            </w:pPr>
            <w:r>
              <w:rPr>
                <w:b w:val="false"/>
                <w:bCs w:val="false"/>
                <w:color w:val="4A4A4A"/>
                <w:sz w:val="20"/>
                <w:szCs w:val="20"/>
              </w:rPr>
              <w:t xml:space="preserve">gorilla/websocket</w:t>
            </w:r>
          </w:p>
        </w:tc>
        <w:tc>
          <w:tcPr>
            <w:tcW w:type="dxa" w:w="4500"/>
            <w:shd w:fill="FFFFFF" w:val="clear"/>
            <w:vAlign w:val="center"/>
          </w:tcPr>
          <w:p>
            <w:pPr>
              <w:spacing w:after="60" w:before="60"/>
              <w:ind w:left="115"/>
            </w:pPr>
            <w:r>
              <w:rPr>
                <w:b w:val="false"/>
                <w:bCs w:val="false"/>
                <w:color w:val="4A4A4A"/>
                <w:sz w:val="20"/>
                <w:szCs w:val="20"/>
              </w:rPr>
              <w:t xml:space="preserve">WebSocket hub for real-time dashboard updates. One hub per k8s pod, scaled via Redis pub-sub.</w:t>
            </w:r>
          </w:p>
        </w:tc>
      </w:tr>
    </w:tbl>
    <w:p>
      <w:pPr>
        <w:pStyle w:val="Heading2"/>
        <w:spacing w:after="120" w:before="320"/>
      </w:pPr>
      <w:r>
        <w:t xml:space="preserve">4.4 Request Lifecycle</w:t>
      </w:r>
    </w:p>
    <w:p>
      <w:pPr>
        <w:pStyle w:val="ListParagraph"/>
        <w:numPr>
          <w:ilvl w:val="0"/>
          <w:numId w:val="2"/>
        </w:numPr>
        <w:spacing w:after="40" w:before="40"/>
      </w:pPr>
      <w:r>
        <w:rPr>
          <w:color w:val="4A4A4A"/>
          <w:sz w:val="21"/>
          <w:szCs w:val="21"/>
        </w:rPr>
        <w:t xml:space="preserve">Kong validates JWT, adds X-User-ID and X-User-Role headers, forwards to Go API.</w:t>
      </w:r>
    </w:p>
    <w:p>
      <w:pPr>
        <w:pStyle w:val="ListParagraph"/>
        <w:numPr>
          <w:ilvl w:val="0"/>
          <w:numId w:val="2"/>
        </w:numPr>
        <w:spacing w:after="40" w:before="40"/>
      </w:pPr>
      <w:r>
        <w:rPr>
          <w:color w:val="4A4A4A"/>
          <w:sz w:val="21"/>
          <w:szCs w:val="21"/>
        </w:rPr>
        <w:t xml:space="preserve">Gin middleware extracts user context, sets request-scoped logger with trace ID.</w:t>
      </w:r>
    </w:p>
    <w:p>
      <w:pPr>
        <w:pStyle w:val="ListParagraph"/>
        <w:numPr>
          <w:ilvl w:val="0"/>
          <w:numId w:val="2"/>
        </w:numPr>
        <w:spacing w:after="40" w:before="40"/>
      </w:pPr>
      <w:r>
        <w:rPr>
          <w:color w:val="4A4A4A"/>
          <w:sz w:val="21"/>
          <w:szCs w:val="21"/>
        </w:rPr>
        <w:t xml:space="preserve">RBAC middleware checks role claim against endpoint permission map.</w:t>
      </w:r>
    </w:p>
    <w:p>
      <w:pPr>
        <w:pStyle w:val="ListParagraph"/>
        <w:numPr>
          <w:ilvl w:val="0"/>
          <w:numId w:val="2"/>
        </w:numPr>
        <w:spacing w:after="40" w:before="40"/>
      </w:pPr>
      <w:r>
        <w:rPr>
          <w:color w:val="4A4A4A"/>
          <w:sz w:val="21"/>
          <w:szCs w:val="21"/>
        </w:rPr>
        <w:t xml:space="preserve">Row-Level Security: every DB query includes WHERE school_id = $userSchoolId or WHERE region_id = $userRegionId, enforced in pgx middleware, not in handler code.</w:t>
      </w:r>
    </w:p>
    <w:p>
      <w:pPr>
        <w:pStyle w:val="ListParagraph"/>
        <w:numPr>
          <w:ilvl w:val="0"/>
          <w:numId w:val="2"/>
        </w:numPr>
        <w:spacing w:after="40" w:before="40"/>
      </w:pPr>
      <w:r>
        <w:rPr>
          <w:color w:val="4A4A4A"/>
          <w:sz w:val="21"/>
          <w:szCs w:val="21"/>
        </w:rPr>
        <w:t xml:space="preserve">Handler calls service layer. Service orchestrates: PostgreSQL for transactional data, Neo4j for graph queries, Redis for caching.</w:t>
      </w:r>
    </w:p>
    <w:p>
      <w:pPr>
        <w:pStyle w:val="ListParagraph"/>
        <w:numPr>
          <w:ilvl w:val="0"/>
          <w:numId w:val="2"/>
        </w:numPr>
        <w:spacing w:after="40" w:before="40"/>
      </w:pPr>
      <w:r>
        <w:rPr>
          <w:color w:val="4A4A4A"/>
          <w:sz w:val="21"/>
          <w:szCs w:val="21"/>
        </w:rPr>
        <w:t xml:space="preserve">Response serialized to JSON. Zap logs request duration, status, user ID. Prometheus histogram updated.</w:t>
      </w:r>
    </w:p>
    <w:p>
      <w:pPr>
        <w:pStyle w:val="Heading2"/>
        <w:spacing w:after="120" w:before="320"/>
      </w:pPr>
      <w:r>
        <w:t xml:space="preserve">4.5 WebSocket Real-Time Updates</w:t>
      </w:r>
    </w:p>
    <w:p>
      <w:pPr>
        <w:spacing w:after="60" w:before="60"/>
        <w:ind w:left="0"/>
      </w:pPr>
      <w:r>
        <w:rPr>
          <w:color w:val="4A4A4A"/>
          <w:sz w:val="22"/>
          <w:szCs w:val="22"/>
        </w:rPr>
        <w:t xml:space="preserve">The Ministry and Regional dashboards show live counters (active students, exam submissions in progress). This uses a WebSocket hub pattern:</w:t>
      </w:r>
    </w:p>
    <w:p>
      <w:pPr>
        <w:pStyle w:val="ListParagraph"/>
        <w:numPr>
          <w:ilvl w:val="0"/>
          <w:numId w:val="2"/>
        </w:numPr>
        <w:spacing w:after="40" w:before="40"/>
      </w:pPr>
      <w:r>
        <w:rPr>
          <w:color w:val="4A4A4A"/>
          <w:sz w:val="21"/>
          <w:szCs w:val="21"/>
        </w:rPr>
        <w:t xml:space="preserve">Client connects to /ws/{dashboardType}. Kong proxies to the Go API pod that owns the connection.</w:t>
      </w:r>
    </w:p>
    <w:p>
      <w:pPr>
        <w:pStyle w:val="ListParagraph"/>
        <w:numPr>
          <w:ilvl w:val="0"/>
          <w:numId w:val="2"/>
        </w:numPr>
        <w:spacing w:after="40" w:before="40"/>
      </w:pPr>
      <w:r>
        <w:rPr>
          <w:color w:val="4A4A4A"/>
          <w:sz w:val="21"/>
          <w:szCs w:val="21"/>
        </w:rPr>
        <w:t xml:space="preserve">When a student submits an exam, the handler publishes a Redis pub-sub event to channel dashboard:ministry and dashboard:region:{regionId}.</w:t>
      </w:r>
    </w:p>
    <w:p>
      <w:pPr>
        <w:pStyle w:val="ListParagraph"/>
        <w:numPr>
          <w:ilvl w:val="0"/>
          <w:numId w:val="2"/>
        </w:numPr>
        <w:spacing w:after="40" w:before="40"/>
      </w:pPr>
      <w:r>
        <w:rPr>
          <w:color w:val="4A4A4A"/>
          <w:sz w:val="21"/>
          <w:szCs w:val="21"/>
        </w:rPr>
        <w:t xml:space="preserve">Every Go API pod subscribes to Redis pub-sub. On receiving an event, the pod's hub broadcasts to all connected WebSocket clients interested in that channel.</w:t>
      </w:r>
    </w:p>
    <w:p>
      <w:pPr>
        <w:pStyle w:val="ListParagraph"/>
        <w:numPr>
          <w:ilvl w:val="0"/>
          <w:numId w:val="2"/>
        </w:numPr>
        <w:spacing w:after="40" w:before="40"/>
      </w:pPr>
      <w:r>
        <w:rPr>
          <w:color w:val="4A4A4A"/>
          <w:sz w:val="21"/>
          <w:szCs w:val="21"/>
        </w:rPr>
        <w:t xml:space="preserve">This scales horizontally: any pod can receive a submission, and the Redis fan-out ensures all pods' connected clients are updated.</w:t>
      </w:r>
    </w:p>
    <w:p>
      <w:pPr>
        <w:pStyle w:val="Heading2"/>
        <w:spacing w:after="120" w:before="320"/>
      </w:pPr>
      <w:r>
        <w:t xml:space="preserve">4.6 Concurrency and Connection Pooling</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Resource</w:t>
            </w:r>
          </w:p>
        </w:tc>
        <w:tc>
          <w:tcPr>
            <w:tcW w:type="dxa" w:w="4500"/>
            <w:shd w:fill="1A4A7A" w:val="clear"/>
            <w:vAlign w:val="center"/>
          </w:tcPr>
          <w:p>
            <w:pPr>
              <w:spacing w:after="60" w:before="60"/>
              <w:ind w:left="115"/>
            </w:pPr>
            <w:r>
              <w:rPr>
                <w:b/>
                <w:bCs/>
                <w:color w:val="FFFFFF"/>
                <w:sz w:val="20"/>
                <w:szCs w:val="20"/>
              </w:rPr>
              <w:t xml:space="preserve">Configuration</w:t>
            </w:r>
          </w:p>
        </w:tc>
      </w:tr>
      <w:tr>
        <w:tc>
          <w:tcPr>
            <w:tcW w:type="dxa" w:w="4500"/>
            <w:shd w:fill="FFFFFF" w:val="clear"/>
            <w:vAlign w:val="center"/>
          </w:tcPr>
          <w:p>
            <w:pPr>
              <w:spacing w:after="60" w:before="60"/>
              <w:ind w:left="115"/>
            </w:pPr>
            <w:r>
              <w:rPr>
                <w:b w:val="false"/>
                <w:bCs w:val="false"/>
                <w:color w:val="4A4A4A"/>
                <w:sz w:val="20"/>
                <w:szCs w:val="20"/>
              </w:rPr>
              <w:t xml:space="preserve">PostgreSQL pool size</w:t>
            </w:r>
          </w:p>
        </w:tc>
        <w:tc>
          <w:tcPr>
            <w:tcW w:type="dxa" w:w="4500"/>
            <w:shd w:fill="FFFFFF" w:val="clear"/>
            <w:vAlign w:val="center"/>
          </w:tcPr>
          <w:p>
            <w:pPr>
              <w:spacing w:after="60" w:before="60"/>
              <w:ind w:left="115"/>
            </w:pPr>
            <w:r>
              <w:rPr>
                <w:b w:val="false"/>
                <w:bCs w:val="false"/>
                <w:color w:val="4A4A4A"/>
                <w:sz w:val="20"/>
                <w:szCs w:val="20"/>
              </w:rPr>
              <w:t xml:space="preserve">max_conns: 80 per pod, min_conns: 10. pgxpool manages lifecycle.</w:t>
            </w:r>
          </w:p>
        </w:tc>
      </w:tr>
      <w:tr>
        <w:tc>
          <w:tcPr>
            <w:tcW w:type="dxa" w:w="4500"/>
            <w:shd w:fill="F9FAFB" w:val="clear"/>
            <w:vAlign w:val="center"/>
          </w:tcPr>
          <w:p>
            <w:pPr>
              <w:spacing w:after="60" w:before="60"/>
              <w:ind w:left="115"/>
            </w:pPr>
            <w:r>
              <w:rPr>
                <w:b w:val="false"/>
                <w:bCs w:val="false"/>
                <w:color w:val="4A4A4A"/>
                <w:sz w:val="20"/>
                <w:szCs w:val="20"/>
              </w:rPr>
              <w:t xml:space="preserve">Neo4j pool size</w:t>
            </w:r>
          </w:p>
        </w:tc>
        <w:tc>
          <w:tcPr>
            <w:tcW w:type="dxa" w:w="4500"/>
            <w:shd w:fill="F9FAFB" w:val="clear"/>
            <w:vAlign w:val="center"/>
          </w:tcPr>
          <w:p>
            <w:pPr>
              <w:spacing w:after="60" w:before="60"/>
              <w:ind w:left="115"/>
            </w:pPr>
            <w:r>
              <w:rPr>
                <w:b w:val="false"/>
                <w:bCs w:val="false"/>
                <w:color w:val="4A4A4A"/>
                <w:sz w:val="20"/>
                <w:szCs w:val="20"/>
              </w:rPr>
              <w:t xml:space="preserve">max_connection_pool_size: 50 per pod. Neo4j driver handles Bolt multiplexing.</w:t>
            </w:r>
          </w:p>
        </w:tc>
      </w:tr>
      <w:tr>
        <w:tc>
          <w:tcPr>
            <w:tcW w:type="dxa" w:w="4500"/>
            <w:shd w:fill="FFFFFF" w:val="clear"/>
            <w:vAlign w:val="center"/>
          </w:tcPr>
          <w:p>
            <w:pPr>
              <w:spacing w:after="60" w:before="60"/>
              <w:ind w:left="115"/>
            </w:pPr>
            <w:r>
              <w:rPr>
                <w:b w:val="false"/>
                <w:bCs w:val="false"/>
                <w:color w:val="4A4A4A"/>
                <w:sz w:val="20"/>
                <w:szCs w:val="20"/>
              </w:rPr>
              <w:t xml:space="preserve">Redis pool</w:t>
            </w:r>
          </w:p>
        </w:tc>
        <w:tc>
          <w:tcPr>
            <w:tcW w:type="dxa" w:w="4500"/>
            <w:shd w:fill="FFFFFF" w:val="clear"/>
            <w:vAlign w:val="center"/>
          </w:tcPr>
          <w:p>
            <w:pPr>
              <w:spacing w:after="60" w:before="60"/>
              <w:ind w:left="115"/>
            </w:pPr>
            <w:r>
              <w:rPr>
                <w:b w:val="false"/>
                <w:bCs w:val="false"/>
                <w:color w:val="4A4A4A"/>
                <w:sz w:val="20"/>
                <w:szCs w:val="20"/>
              </w:rPr>
              <w:t xml:space="preserve">rueidis manages a single multiplexed connection. No pool needed (pipelining).</w:t>
            </w:r>
          </w:p>
        </w:tc>
      </w:tr>
      <w:tr>
        <w:tc>
          <w:tcPr>
            <w:tcW w:type="dxa" w:w="4500"/>
            <w:shd w:fill="F9FAFB" w:val="clear"/>
            <w:vAlign w:val="center"/>
          </w:tcPr>
          <w:p>
            <w:pPr>
              <w:spacing w:after="60" w:before="60"/>
              <w:ind w:left="115"/>
            </w:pPr>
            <w:r>
              <w:rPr>
                <w:b w:val="false"/>
                <w:bCs w:val="false"/>
                <w:color w:val="4A4A4A"/>
                <w:sz w:val="20"/>
                <w:szCs w:val="20"/>
              </w:rPr>
              <w:t xml:space="preserve">Goroutine leak prevention</w:t>
            </w:r>
          </w:p>
        </w:tc>
        <w:tc>
          <w:tcPr>
            <w:tcW w:type="dxa" w:w="4500"/>
            <w:shd w:fill="F9FAFB" w:val="clear"/>
            <w:vAlign w:val="center"/>
          </w:tcPr>
          <w:p>
            <w:pPr>
              <w:spacing w:after="60" w:before="60"/>
              <w:ind w:left="115"/>
            </w:pPr>
            <w:r>
              <w:rPr>
                <w:b w:val="false"/>
                <w:bCs w:val="false"/>
                <w:color w:val="4A4A4A"/>
                <w:sz w:val="20"/>
                <w:szCs w:val="20"/>
              </w:rPr>
              <w:t xml:space="preserve">context.WithTimeout on every external call. errgroup for concurrent fan-out queries.</w:t>
            </w:r>
          </w:p>
        </w:tc>
      </w:tr>
      <w:tr>
        <w:tc>
          <w:tcPr>
            <w:tcW w:type="dxa" w:w="4500"/>
            <w:shd w:fill="FFFFFF" w:val="clear"/>
            <w:vAlign w:val="center"/>
          </w:tcPr>
          <w:p>
            <w:pPr>
              <w:spacing w:after="60" w:before="60"/>
              <w:ind w:left="115"/>
            </w:pPr>
            <w:r>
              <w:rPr>
                <w:b w:val="false"/>
                <w:bCs w:val="false"/>
                <w:color w:val="4A4A4A"/>
                <w:sz w:val="20"/>
                <w:szCs w:val="20"/>
              </w:rPr>
              <w:t xml:space="preserve">Circuit breaker</w:t>
            </w:r>
          </w:p>
        </w:tc>
        <w:tc>
          <w:tcPr>
            <w:tcW w:type="dxa" w:w="4500"/>
            <w:shd w:fill="FFFFFF" w:val="clear"/>
            <w:vAlign w:val="center"/>
          </w:tcPr>
          <w:p>
            <w:pPr>
              <w:spacing w:after="60" w:before="60"/>
              <w:ind w:left="115"/>
            </w:pPr>
            <w:r>
              <w:rPr>
                <w:b w:val="false"/>
                <w:bCs w:val="false"/>
                <w:color w:val="4A4A4A"/>
                <w:sz w:val="20"/>
                <w:szCs w:val="20"/>
              </w:rPr>
              <w:t xml:space="preserve">sony/gobreaker wraps Neo4j and AI service calls. Opens after 5 failures in 10s.</w:t>
            </w:r>
          </w:p>
        </w:tc>
      </w:tr>
    </w:tbl>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05 — AI Microservice</w:t>
            </w:r>
          </w:p>
          <w:p>
            <w:pPr>
              <w:spacing w:after="80" w:before="40"/>
            </w:pPr>
            <w:r>
              <w:rPr>
                <w:i/>
                <w:iCs/>
                <w:color w:val="B3D4FF"/>
                <w:sz w:val="20"/>
                <w:szCs w:val="20"/>
              </w:rPr>
              <w:t xml:space="preserve">Python FastAPI — LLM inference, knowledge graph RAG, gap engine</w:t>
            </w:r>
          </w:p>
        </w:tc>
      </w:tr>
    </w:tbl>
    <w:p>
      <w:pPr>
        <w:spacing w:after="60" w:before="60"/>
      </w:pPr>
    </w:p>
    <w:p>
      <w:pPr>
        <w:pStyle w:val="Heading2"/>
        <w:spacing w:after="120" w:before="320"/>
      </w:pPr>
      <w:r>
        <w:t xml:space="preserve">5.1 Why a Separate AI Service</w:t>
      </w:r>
    </w:p>
    <w:p>
      <w:pPr>
        <w:spacing w:after="60" w:before="60"/>
        <w:ind w:left="0"/>
      </w:pPr>
      <w:r>
        <w:rPr>
          <w:color w:val="4A4A4A"/>
          <w:sz w:val="22"/>
          <w:szCs w:val="22"/>
        </w:rPr>
        <w:t xml:space="preserve">The AI service is isolated from the Go core API because: GPU inference requires different hardware (GPU nodes vs. CPU nodes); Python owns the ML ecosystem (LangChain, Hugging Face, sentence-transformers); LLM calls are inherently slow (2–30s) and should never block the core API event loop; and the AI service can be scaled, updated, or replaced independently without touching student data handling.</w:t>
      </w:r>
    </w:p>
    <w:p>
      <w:pPr>
        <w:pStyle w:val="Heading2"/>
        <w:spacing w:after="120" w:before="320"/>
      </w:pPr>
      <w:r>
        <w:t xml:space="preserve">5.2 Technology Stack</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Technology</w:t>
            </w:r>
          </w:p>
        </w:tc>
        <w:tc>
          <w:tcPr>
            <w:tcW w:type="dxa" w:w="4500"/>
            <w:shd w:fill="1A4A7A" w:val="clear"/>
            <w:vAlign w:val="center"/>
          </w:tcPr>
          <w:p>
            <w:pPr>
              <w:spacing w:after="60" w:before="60"/>
              <w:ind w:left="115"/>
            </w:pPr>
            <w:r>
              <w:rPr>
                <w:b/>
                <w:bCs/>
                <w:color w:val="FFFFFF"/>
                <w:sz w:val="20"/>
                <w:szCs w:val="20"/>
              </w:rPr>
              <w:t xml:space="preserve">Purpose</w:t>
            </w:r>
          </w:p>
        </w:tc>
      </w:tr>
      <w:tr>
        <w:tc>
          <w:tcPr>
            <w:tcW w:type="dxa" w:w="4500"/>
            <w:shd w:fill="FFFFFF" w:val="clear"/>
            <w:vAlign w:val="center"/>
          </w:tcPr>
          <w:p>
            <w:pPr>
              <w:spacing w:after="60" w:before="60"/>
              <w:ind w:left="115"/>
            </w:pPr>
            <w:r>
              <w:rPr>
                <w:b w:val="false"/>
                <w:bCs w:val="false"/>
                <w:color w:val="4A4A4A"/>
                <w:sz w:val="20"/>
                <w:szCs w:val="20"/>
              </w:rPr>
              <w:t xml:space="preserve">FastAPI</w:t>
            </w:r>
          </w:p>
        </w:tc>
        <w:tc>
          <w:tcPr>
            <w:tcW w:type="dxa" w:w="4500"/>
            <w:shd w:fill="FFFFFF" w:val="clear"/>
            <w:vAlign w:val="center"/>
          </w:tcPr>
          <w:p>
            <w:pPr>
              <w:spacing w:after="60" w:before="60"/>
              <w:ind w:left="115"/>
            </w:pPr>
            <w:r>
              <w:rPr>
                <w:b w:val="false"/>
                <w:bCs w:val="false"/>
                <w:color w:val="4A4A4A"/>
                <w:sz w:val="20"/>
                <w:szCs w:val="20"/>
              </w:rPr>
              <w:t xml:space="preserve">Async HTTP framework. Native async/await matches LLM streaming responses.</w:t>
            </w:r>
          </w:p>
        </w:tc>
      </w:tr>
      <w:tr>
        <w:tc>
          <w:tcPr>
            <w:tcW w:type="dxa" w:w="4500"/>
            <w:shd w:fill="F9FAFB" w:val="clear"/>
            <w:vAlign w:val="center"/>
          </w:tcPr>
          <w:p>
            <w:pPr>
              <w:spacing w:after="60" w:before="60"/>
              <w:ind w:left="115"/>
            </w:pPr>
            <w:r>
              <w:rPr>
                <w:b w:val="false"/>
                <w:bCs w:val="false"/>
                <w:color w:val="4A4A4A"/>
                <w:sz w:val="20"/>
                <w:szCs w:val="20"/>
              </w:rPr>
              <w:t xml:space="preserve">LangChain</w:t>
            </w:r>
          </w:p>
        </w:tc>
        <w:tc>
          <w:tcPr>
            <w:tcW w:type="dxa" w:w="4500"/>
            <w:shd w:fill="F9FAFB" w:val="clear"/>
            <w:vAlign w:val="center"/>
          </w:tcPr>
          <w:p>
            <w:pPr>
              <w:spacing w:after="60" w:before="60"/>
              <w:ind w:left="115"/>
            </w:pPr>
            <w:r>
              <w:rPr>
                <w:b w:val="false"/>
                <w:bCs w:val="false"/>
                <w:color w:val="4A4A4A"/>
                <w:sz w:val="20"/>
                <w:szCs w:val="20"/>
              </w:rPr>
              <w:t xml:space="preserve">Orchestration for RAG pipelines: document loading, chunking, retrieval, prompt assembly.</w:t>
            </w:r>
          </w:p>
        </w:tc>
      </w:tr>
      <w:tr>
        <w:tc>
          <w:tcPr>
            <w:tcW w:type="dxa" w:w="4500"/>
            <w:shd w:fill="FFFFFF" w:val="clear"/>
            <w:vAlign w:val="center"/>
          </w:tcPr>
          <w:p>
            <w:pPr>
              <w:spacing w:after="60" w:before="60"/>
              <w:ind w:left="115"/>
            </w:pPr>
            <w:r>
              <w:rPr>
                <w:b w:val="false"/>
                <w:bCs w:val="false"/>
                <w:color w:val="4A4A4A"/>
                <w:sz w:val="20"/>
                <w:szCs w:val="20"/>
              </w:rPr>
              <w:t xml:space="preserve">LlamaIndex</w:t>
            </w:r>
          </w:p>
        </w:tc>
        <w:tc>
          <w:tcPr>
            <w:tcW w:type="dxa" w:w="4500"/>
            <w:shd w:fill="FFFFFF" w:val="clear"/>
            <w:vAlign w:val="center"/>
          </w:tcPr>
          <w:p>
            <w:pPr>
              <w:spacing w:after="60" w:before="60"/>
              <w:ind w:left="115"/>
            </w:pPr>
            <w:r>
              <w:rPr>
                <w:b w:val="false"/>
                <w:bCs w:val="false"/>
                <w:color w:val="4A4A4A"/>
                <w:sz w:val="20"/>
                <w:szCs w:val="20"/>
              </w:rPr>
              <w:t xml:space="preserve">Secondary RAG framework used for curriculum graph Q&amp;A over Neo4j-stored CLOs.</w:t>
            </w:r>
          </w:p>
        </w:tc>
      </w:tr>
      <w:tr>
        <w:tc>
          <w:tcPr>
            <w:tcW w:type="dxa" w:w="4500"/>
            <w:shd w:fill="F9FAFB" w:val="clear"/>
            <w:vAlign w:val="center"/>
          </w:tcPr>
          <w:p>
            <w:pPr>
              <w:spacing w:after="60" w:before="60"/>
              <w:ind w:left="115"/>
            </w:pPr>
            <w:r>
              <w:rPr>
                <w:b w:val="false"/>
                <w:bCs w:val="false"/>
                <w:color w:val="4A4A4A"/>
                <w:sz w:val="20"/>
                <w:szCs w:val="20"/>
              </w:rPr>
              <w:t xml:space="preserve">sentence-transformers</w:t>
            </w:r>
          </w:p>
        </w:tc>
        <w:tc>
          <w:tcPr>
            <w:tcW w:type="dxa" w:w="4500"/>
            <w:shd w:fill="F9FAFB" w:val="clear"/>
            <w:vAlign w:val="center"/>
          </w:tcPr>
          <w:p>
            <w:pPr>
              <w:spacing w:after="60" w:before="60"/>
              <w:ind w:left="115"/>
            </w:pPr>
            <w:r>
              <w:rPr>
                <w:b w:val="false"/>
                <w:bCs w:val="false"/>
                <w:color w:val="4A4A4A"/>
                <w:sz w:val="20"/>
                <w:szCs w:val="20"/>
              </w:rPr>
              <w:t xml:space="preserve">Local embedding generation. Model: intfloat/multilingual-e5-large (supports Amharic).</w:t>
            </w:r>
          </w:p>
        </w:tc>
      </w:tr>
      <w:tr>
        <w:tc>
          <w:tcPr>
            <w:tcW w:type="dxa" w:w="4500"/>
            <w:shd w:fill="FFFFFF" w:val="clear"/>
            <w:vAlign w:val="center"/>
          </w:tcPr>
          <w:p>
            <w:pPr>
              <w:spacing w:after="60" w:before="60"/>
              <w:ind w:left="115"/>
            </w:pPr>
            <w:r>
              <w:rPr>
                <w:b w:val="false"/>
                <w:bCs w:val="false"/>
                <w:color w:val="4A4A4A"/>
                <w:sz w:val="20"/>
                <w:szCs w:val="20"/>
              </w:rPr>
              <w:t xml:space="preserve">Ollama (local)</w:t>
            </w:r>
          </w:p>
        </w:tc>
        <w:tc>
          <w:tcPr>
            <w:tcW w:type="dxa" w:w="4500"/>
            <w:shd w:fill="FFFFFF" w:val="clear"/>
            <w:vAlign w:val="center"/>
          </w:tcPr>
          <w:p>
            <w:pPr>
              <w:spacing w:after="60" w:before="60"/>
              <w:ind w:left="115"/>
            </w:pPr>
            <w:r>
              <w:rPr>
                <w:b w:val="false"/>
                <w:bCs w:val="false"/>
                <w:color w:val="4A4A4A"/>
                <w:sz w:val="20"/>
                <w:szCs w:val="20"/>
              </w:rPr>
              <w:t xml:space="preserve">School Box inference. Serves Qwen2.5-7B, Llama3.1-8B, Gemma2-9B locally on GPU/CPU.</w:t>
            </w:r>
          </w:p>
        </w:tc>
      </w:tr>
      <w:tr>
        <w:tc>
          <w:tcPr>
            <w:tcW w:type="dxa" w:w="4500"/>
            <w:shd w:fill="F9FAFB" w:val="clear"/>
            <w:vAlign w:val="center"/>
          </w:tcPr>
          <w:p>
            <w:pPr>
              <w:spacing w:after="60" w:before="60"/>
              <w:ind w:left="115"/>
            </w:pPr>
            <w:r>
              <w:rPr>
                <w:b w:val="false"/>
                <w:bCs w:val="false"/>
                <w:color w:val="4A4A4A"/>
                <w:sz w:val="20"/>
                <w:szCs w:val="20"/>
              </w:rPr>
              <w:t xml:space="preserve">vLLM (cloud)</w:t>
            </w:r>
          </w:p>
        </w:tc>
        <w:tc>
          <w:tcPr>
            <w:tcW w:type="dxa" w:w="4500"/>
            <w:shd w:fill="F9FAFB" w:val="clear"/>
            <w:vAlign w:val="center"/>
          </w:tcPr>
          <w:p>
            <w:pPr>
              <w:spacing w:after="60" w:before="60"/>
              <w:ind w:left="115"/>
            </w:pPr>
            <w:r>
              <w:rPr>
                <w:b w:val="false"/>
                <w:bCs w:val="false"/>
                <w:color w:val="4A4A4A"/>
                <w:sz w:val="20"/>
                <w:szCs w:val="20"/>
              </w:rPr>
              <w:t xml:space="preserve">Cloud inference for high-throughput scenarios. Served on AWS g5.xlarge (NVIDIA A10G GPU).</w:t>
            </w:r>
          </w:p>
        </w:tc>
      </w:tr>
      <w:tr>
        <w:tc>
          <w:tcPr>
            <w:tcW w:type="dxa" w:w="4500"/>
            <w:shd w:fill="FFFFFF" w:val="clear"/>
            <w:vAlign w:val="center"/>
          </w:tcPr>
          <w:p>
            <w:pPr>
              <w:spacing w:after="60" w:before="60"/>
              <w:ind w:left="115"/>
            </w:pPr>
            <w:r>
              <w:rPr>
                <w:b w:val="false"/>
                <w:bCs w:val="false"/>
                <w:color w:val="4A4A4A"/>
                <w:sz w:val="20"/>
                <w:szCs w:val="20"/>
              </w:rPr>
              <w:t xml:space="preserve">pgvector</w:t>
            </w:r>
          </w:p>
        </w:tc>
        <w:tc>
          <w:tcPr>
            <w:tcW w:type="dxa" w:w="4500"/>
            <w:shd w:fill="FFFFFF" w:val="clear"/>
            <w:vAlign w:val="center"/>
          </w:tcPr>
          <w:p>
            <w:pPr>
              <w:spacing w:after="60" w:before="60"/>
              <w:ind w:left="115"/>
            </w:pPr>
            <w:r>
              <w:rPr>
                <w:b w:val="false"/>
                <w:bCs w:val="false"/>
                <w:color w:val="4A4A4A"/>
                <w:sz w:val="20"/>
                <w:szCs w:val="20"/>
              </w:rPr>
              <w:t xml:space="preserve">Vector similarity search inside PostgreSQL for embedding-based CLO matching.</w:t>
            </w:r>
          </w:p>
        </w:tc>
      </w:tr>
      <w:tr>
        <w:tc>
          <w:tcPr>
            <w:tcW w:type="dxa" w:w="4500"/>
            <w:shd w:fill="F9FAFB" w:val="clear"/>
            <w:vAlign w:val="center"/>
          </w:tcPr>
          <w:p>
            <w:pPr>
              <w:spacing w:after="60" w:before="60"/>
              <w:ind w:left="115"/>
            </w:pPr>
            <w:r>
              <w:rPr>
                <w:b w:val="false"/>
                <w:bCs w:val="false"/>
                <w:color w:val="4A4A4A"/>
                <w:sz w:val="20"/>
                <w:szCs w:val="20"/>
              </w:rPr>
              <w:t xml:space="preserve">Celery + Redis</w:t>
            </w:r>
          </w:p>
        </w:tc>
        <w:tc>
          <w:tcPr>
            <w:tcW w:type="dxa" w:w="4500"/>
            <w:shd w:fill="F9FAFB" w:val="clear"/>
            <w:vAlign w:val="center"/>
          </w:tcPr>
          <w:p>
            <w:pPr>
              <w:spacing w:after="60" w:before="60"/>
              <w:ind w:left="115"/>
            </w:pPr>
            <w:r>
              <w:rPr>
                <w:b w:val="false"/>
                <w:bCs w:val="false"/>
                <w:color w:val="4A4A4A"/>
                <w:sz w:val="20"/>
                <w:szCs w:val="20"/>
              </w:rPr>
              <w:t xml:space="preserve">Async task queue for long-running AI jobs (generating study plans, batch gap analysis).</w:t>
            </w:r>
          </w:p>
        </w:tc>
      </w:tr>
      <w:tr>
        <w:tc>
          <w:tcPr>
            <w:tcW w:type="dxa" w:w="4500"/>
            <w:shd w:fill="FFFFFF" w:val="clear"/>
            <w:vAlign w:val="center"/>
          </w:tcPr>
          <w:p>
            <w:pPr>
              <w:spacing w:after="60" w:before="60"/>
              <w:ind w:left="115"/>
            </w:pPr>
            <w:r>
              <w:rPr>
                <w:b w:val="false"/>
                <w:bCs w:val="false"/>
                <w:color w:val="4A4A4A"/>
                <w:sz w:val="20"/>
                <w:szCs w:val="20"/>
              </w:rPr>
              <w:t xml:space="preserve">Pydantic v2</w:t>
            </w:r>
          </w:p>
        </w:tc>
        <w:tc>
          <w:tcPr>
            <w:tcW w:type="dxa" w:w="4500"/>
            <w:shd w:fill="FFFFFF" w:val="clear"/>
            <w:vAlign w:val="center"/>
          </w:tcPr>
          <w:p>
            <w:pPr>
              <w:spacing w:after="60" w:before="60"/>
              <w:ind w:left="115"/>
            </w:pPr>
            <w:r>
              <w:rPr>
                <w:b w:val="false"/>
                <w:bCs w:val="false"/>
                <w:color w:val="4A4A4A"/>
                <w:sz w:val="20"/>
                <w:szCs w:val="20"/>
              </w:rPr>
              <w:t xml:space="preserve">Request/response validation. Models shared with Go via JSON Schema generation.</w:t>
            </w:r>
          </w:p>
        </w:tc>
      </w:tr>
    </w:tbl>
    <w:p>
      <w:pPr>
        <w:pStyle w:val="Heading2"/>
        <w:spacing w:after="120" w:before="320"/>
      </w:pPr>
      <w:r>
        <w:t xml:space="preserve">5.3 AI Capabilities</w:t>
      </w:r>
    </w:p>
    <w:p>
      <w:pPr>
        <w:pStyle w:val="Heading3"/>
        <w:spacing w:after="80" w:before="240"/>
      </w:pPr>
      <w:r>
        <w:t xml:space="preserve">5.3.1 Exam Assessment Verifier</w:t>
      </w:r>
    </w:p>
    <w:p>
      <w:pPr>
        <w:spacing w:after="60" w:before="60"/>
        <w:ind w:left="0"/>
      </w:pPr>
      <w:r>
        <w:rPr>
          <w:color w:val="4A4A4A"/>
          <w:sz w:val="22"/>
          <w:szCs w:val="22"/>
        </w:rPr>
        <w:t xml:space="preserve">Teacher uploads exam PDF/DOCX. The AI service: extracts questions using PyMuPDF; embeds each question using multilingual-e5-large; queries pgvector for nearest CLO by cosine similarity; returns coverage report showing which CLOs are covered, which are missing, and bloom's taxonomy distribution.</w:t>
      </w:r>
    </w:p>
    <w:p>
      <w:pPr>
        <w:pBdr>
          <w:left w:val="single" w:color="1A4A7A" w:sz="16"/>
        </w:pBdr>
        <w:shd w:fill="EFF6FF" w:val="clear"/>
        <w:spacing w:after="80" w:before="80"/>
        <w:ind w:left="288"/>
      </w:pPr>
      <w:r>
        <w:rPr>
          <w:i/>
          <w:iCs/>
          <w:color w:val="1A4A7A"/>
          <w:sz w:val="20"/>
          <w:szCs w:val="20"/>
        </w:rPr>
        <w:t xml:space="preserve">ℹ  Threshold: cosine similarity ≥ 0.82 is considered a CLO match. Below 0.65 flagged as unverifiable. Teacher reviews edge cases.</w:t>
      </w:r>
    </w:p>
    <w:p>
      <w:pPr>
        <w:pStyle w:val="Heading3"/>
        <w:spacing w:after="80" w:before="240"/>
      </w:pPr>
      <w:r>
        <w:t xml:space="preserve">5.3.2 Learning Gap Engine</w:t>
      </w:r>
    </w:p>
    <w:p>
      <w:pPr>
        <w:spacing w:after="60" w:before="60"/>
        <w:ind w:left="0"/>
      </w:pPr>
      <w:r>
        <w:rPr>
          <w:color w:val="4A4A4A"/>
          <w:sz w:val="22"/>
          <w:szCs w:val="22"/>
        </w:rPr>
        <w:t xml:space="preserve">Receives student ID. Queries Neo4j for failed questions → CLOs → topics → prerequisite chains. LLM (Qwen-7B via Ollama) generates plain-language explanation of each gap in the student's language. Returns structured gap object with severity score, prerequisite depth, and recommended study order (topological sort from Neo4j GDS).</w:t>
      </w:r>
    </w:p>
    <w:p>
      <w:pPr>
        <w:pStyle w:val="Heading3"/>
        <w:spacing w:after="80" w:before="240"/>
      </w:pPr>
      <w:r>
        <w:t xml:space="preserve">5.3.3 Study Plan Generator</w:t>
      </w:r>
    </w:p>
    <w:p>
      <w:pPr>
        <w:spacing w:after="60" w:before="60"/>
        <w:ind w:left="0"/>
      </w:pPr>
      <w:r>
        <w:rPr>
          <w:color w:val="4A4A4A"/>
          <w:sz w:val="22"/>
          <w:szCs w:val="22"/>
        </w:rPr>
        <w:t xml:space="preserve">Takes gap list + student's exam schedule + estimated hours per day. LLM assembles a day-by-day study schedule. Constraints: topics with earlier exam dates are prioritized; prerequisite topics always precede dependent ones; daily load capped at student's declared availability. Output is a JSON schedule rendered by the React frontend as a calendar view.</w:t>
      </w:r>
    </w:p>
    <w:p>
      <w:pPr>
        <w:pStyle w:val="Heading3"/>
        <w:spacing w:after="80" w:before="240"/>
      </w:pPr>
      <w:r>
        <w:t xml:space="preserve">5.3.4 Career Recommendation Engine</w:t>
      </w:r>
    </w:p>
    <w:p>
      <w:pPr>
        <w:spacing w:after="60" w:before="60"/>
        <w:ind w:left="0"/>
      </w:pPr>
      <w:r>
        <w:rPr>
          <w:color w:val="4A4A4A"/>
          <w:sz w:val="22"/>
          <w:szCs w:val="22"/>
        </w:rPr>
        <w:t xml:space="preserve">Queries Neo4j: MATCH (career)-[:REQUIRES]-&gt;(topic) for all careers. Scores each career by mastered/required ratio. Returns top 5 careers with readiness score, gap topics, and a focused study plan for the student's top match.</w:t>
      </w:r>
    </w:p>
    <w:p>
      <w:pPr>
        <w:pStyle w:val="Heading3"/>
        <w:spacing w:after="80" w:before="240"/>
      </w:pPr>
      <w:r>
        <w:t xml:space="preserve">5.3.5 Policy Intelligence (Ministry)</w:t>
      </w:r>
    </w:p>
    <w:p>
      <w:pPr>
        <w:spacing w:after="60" w:before="60"/>
        <w:ind w:left="0"/>
      </w:pPr>
      <w:r>
        <w:rPr>
          <w:color w:val="4A4A4A"/>
          <w:sz w:val="22"/>
          <w:szCs w:val="22"/>
        </w:rPr>
        <w:t xml:space="preserve">Aggregates Neo4j graph traversals across all schools and regions. LLM generates natural-language policy insights: 'Grade 11 Physics CLO coverage nationwide dropped 8% this semester, concentrated in SNNPR and Sidama regions.' Output feeds the Ministry intelligence dashboard and monthly automated reports.</w:t>
      </w:r>
    </w:p>
    <w:p>
      <w:pPr>
        <w:pStyle w:val="Heading2"/>
        <w:spacing w:after="120" w:before="320"/>
      </w:pPr>
      <w:r>
        <w:t xml:space="preserve">5.4 Offline AI on School Box</w:t>
      </w:r>
    </w:p>
    <w:p>
      <w:pPr>
        <w:spacing w:after="60" w:before="60"/>
        <w:ind w:left="0"/>
      </w:pPr>
      <w:r>
        <w:rPr>
          <w:color w:val="4A4A4A"/>
          <w:sz w:val="22"/>
          <w:szCs w:val="22"/>
        </w:rPr>
        <w:t xml:space="preserve">When a school operates offline, the Go API on the School Box routes AI requests to the local Ollama instance instead of the cloud AI service. The School Box runs Qwen2.5-7B (quantized Q4_K_M, 4.5GB RAM) on a CPU or optional GPU node. Gap explanations, study plan generation, and CLO Q&amp;A are all available offline. Embedding generation uses a locally cached multilingual-e5-large model.</w:t>
      </w:r>
    </w:p>
    <w:p>
      <w:pPr>
        <w:pBdr>
          <w:left w:val="single" w:color="B87514" w:sz="16"/>
        </w:pBdr>
        <w:shd w:fill="FFFBEB" w:val="clear"/>
        <w:spacing w:after="80" w:before="80"/>
        <w:ind w:left="288"/>
      </w:pPr>
      <w:r>
        <w:rPr>
          <w:i/>
          <w:iCs/>
          <w:color w:val="B87514"/>
          <w:sz w:val="20"/>
          <w:szCs w:val="20"/>
        </w:rPr>
        <w:t xml:space="preserve">⚠  School Box AI inference is 3–8× slower than GPU cloud inference. The frontend shows a 'Local AI — processing' indicator with longer expected wait times.</w:t>
      </w:r>
    </w:p>
    <w:p>
      <w:pPr>
        <w:pStyle w:val="Heading2"/>
        <w:spacing w:after="120" w:before="320"/>
      </w:pPr>
      <w:r>
        <w:t xml:space="preserve">5.5 AI Service Endpoints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POST /ai/verify-exam            → CLO coverage report</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POST /ai/gap-analysis           → Student gap chain with plain-language explanation</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POST /ai/study-plan             → Personalized study schedule</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POST /ai/career-match           → Career readiness scores + focused plan</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POST /ai/policy-insight         → Ministry/Regional insight generation</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GET  /ai/jobs/{jobId}           → Poll async job status (Celery task)</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GET  /ai/health                 → GPU availability, model loaded status</w:t>
      </w:r>
    </w:p>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06 — Database Architecture</w:t>
            </w:r>
          </w:p>
          <w:p>
            <w:pPr>
              <w:spacing w:after="80" w:before="40"/>
            </w:pPr>
            <w:r>
              <w:rPr>
                <w:i/>
                <w:iCs/>
                <w:color w:val="B3D4FF"/>
                <w:sz w:val="20"/>
                <w:szCs w:val="20"/>
              </w:rPr>
              <w:t xml:space="preserve">PostgreSQL, Neo4j, Redis, S3 — purpose and schema design</w:t>
            </w:r>
          </w:p>
        </w:tc>
      </w:tr>
    </w:tbl>
    <w:p>
      <w:pPr>
        <w:spacing w:after="60" w:before="60"/>
      </w:pPr>
    </w:p>
    <w:p>
      <w:pPr>
        <w:pStyle w:val="Heading2"/>
        <w:spacing w:after="120" w:before="320"/>
      </w:pPr>
      <w:r>
        <w:t xml:space="preserve">6.1 PostgreSQL — Primary Transactional Database</w:t>
      </w:r>
    </w:p>
    <w:p>
      <w:pPr>
        <w:spacing w:after="60" w:before="60"/>
        <w:ind w:left="0"/>
      </w:pPr>
      <w:r>
        <w:rPr>
          <w:color w:val="4A4A4A"/>
          <w:sz w:val="22"/>
          <w:szCs w:val="22"/>
        </w:rPr>
        <w:t xml:space="preserve">PostgreSQL 16 is the system of record for all transactional data: student profiles, exam submissions, grade records, school enrollment, user authentication, and audit logs. It is the authoritative source for everything that requires ACID guarantees.</w:t>
      </w:r>
    </w:p>
    <w:p>
      <w:pPr>
        <w:pStyle w:val="Heading3"/>
        <w:spacing w:after="80" w:before="240"/>
      </w:pPr>
      <w:r>
        <w:t xml:space="preserve">6.1.1 Multi-Tenant Isolation</w:t>
      </w:r>
    </w:p>
    <w:p>
      <w:pPr>
        <w:spacing w:after="60" w:before="60"/>
        <w:ind w:left="0"/>
      </w:pPr>
      <w:r>
        <w:rPr>
          <w:color w:val="4A4A4A"/>
          <w:sz w:val="22"/>
          <w:szCs w:val="22"/>
        </w:rPr>
        <w:t xml:space="preserve">All tables include a tenant_id column (UUID). Row-Level Security (RLS) is enabled on every student-scoped table. This means even a misconfigured API query physically cannot return data from another tenant — the isolation is enforced at the PostgreSQL engine level.</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RLS policy example</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CREATE POLICY school_isolation ON student_answers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USING (school_id = current_setting('app.current_school_id')::uuid);</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Set in pgx middleware before every query</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SET LOCAL app.current_school_id = '$schoolId';</w:t>
      </w:r>
    </w:p>
    <w:p>
      <w:pPr>
        <w:pStyle w:val="Heading3"/>
        <w:spacing w:after="80" w:before="240"/>
      </w:pPr>
      <w:r>
        <w:t xml:space="preserve">6.1.2 Core Table Groups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Schema</w:t>
            </w:r>
          </w:p>
        </w:tc>
        <w:tc>
          <w:tcPr>
            <w:tcW w:type="dxa" w:w="4500"/>
            <w:shd w:fill="1A4A7A" w:val="clear"/>
            <w:vAlign w:val="center"/>
          </w:tcPr>
          <w:p>
            <w:pPr>
              <w:spacing w:after="60" w:before="60"/>
              <w:ind w:left="115"/>
            </w:pPr>
            <w:r>
              <w:rPr>
                <w:b/>
                <w:bCs/>
                <w:color w:val="FFFFFF"/>
                <w:sz w:val="20"/>
                <w:szCs w:val="20"/>
              </w:rPr>
              <w:t xml:space="preserve">Tables</w:t>
            </w:r>
          </w:p>
        </w:tc>
      </w:tr>
      <w:tr>
        <w:tc>
          <w:tcPr>
            <w:tcW w:type="dxa" w:w="4500"/>
            <w:shd w:fill="FFFFFF" w:val="clear"/>
            <w:vAlign w:val="center"/>
          </w:tcPr>
          <w:p>
            <w:pPr>
              <w:spacing w:after="60" w:before="60"/>
              <w:ind w:left="115"/>
            </w:pPr>
            <w:r>
              <w:rPr>
                <w:b w:val="false"/>
                <w:bCs w:val="false"/>
                <w:color w:val="4A4A4A"/>
                <w:sz w:val="20"/>
                <w:szCs w:val="20"/>
              </w:rPr>
              <w:t xml:space="preserve">identity.*</w:t>
            </w:r>
          </w:p>
        </w:tc>
        <w:tc>
          <w:tcPr>
            <w:tcW w:type="dxa" w:w="4500"/>
            <w:shd w:fill="FFFFFF" w:val="clear"/>
            <w:vAlign w:val="center"/>
          </w:tcPr>
          <w:p>
            <w:pPr>
              <w:spacing w:after="60" w:before="60"/>
              <w:ind w:left="115"/>
            </w:pPr>
            <w:r>
              <w:rPr>
                <w:b w:val="false"/>
                <w:bCs w:val="false"/>
                <w:color w:val="4A4A4A"/>
                <w:sz w:val="20"/>
                <w:szCs w:val="20"/>
              </w:rPr>
              <w:t xml:space="preserve">users, roles, sessions, oauth_tokens, mfa_challenges</w:t>
            </w:r>
          </w:p>
        </w:tc>
      </w:tr>
      <w:tr>
        <w:tc>
          <w:tcPr>
            <w:tcW w:type="dxa" w:w="4500"/>
            <w:shd w:fill="F9FAFB" w:val="clear"/>
            <w:vAlign w:val="center"/>
          </w:tcPr>
          <w:p>
            <w:pPr>
              <w:spacing w:after="60" w:before="60"/>
              <w:ind w:left="115"/>
            </w:pPr>
            <w:r>
              <w:rPr>
                <w:b w:val="false"/>
                <w:bCs w:val="false"/>
                <w:color w:val="4A4A4A"/>
                <w:sz w:val="20"/>
                <w:szCs w:val="20"/>
              </w:rPr>
              <w:t xml:space="preserve">curriculum.*</w:t>
            </w:r>
          </w:p>
        </w:tc>
        <w:tc>
          <w:tcPr>
            <w:tcW w:type="dxa" w:w="4500"/>
            <w:shd w:fill="F9FAFB" w:val="clear"/>
            <w:vAlign w:val="center"/>
          </w:tcPr>
          <w:p>
            <w:pPr>
              <w:spacing w:after="60" w:before="60"/>
              <w:ind w:left="115"/>
            </w:pPr>
            <w:r>
              <w:rPr>
                <w:b w:val="false"/>
                <w:bCs w:val="false"/>
                <w:color w:val="4A4A4A"/>
                <w:sz w:val="20"/>
                <w:szCs w:val="20"/>
              </w:rPr>
              <w:t xml:space="preserve">subjects, topics, clos, topic_prerequisites (mirror of Neo4j for RLS queries)</w:t>
            </w:r>
          </w:p>
        </w:tc>
      </w:tr>
      <w:tr>
        <w:tc>
          <w:tcPr>
            <w:tcW w:type="dxa" w:w="4500"/>
            <w:shd w:fill="FFFFFF" w:val="clear"/>
            <w:vAlign w:val="center"/>
          </w:tcPr>
          <w:p>
            <w:pPr>
              <w:spacing w:after="60" w:before="60"/>
              <w:ind w:left="115"/>
            </w:pPr>
            <w:r>
              <w:rPr>
                <w:b w:val="false"/>
                <w:bCs w:val="false"/>
                <w:color w:val="4A4A4A"/>
                <w:sz w:val="20"/>
                <w:szCs w:val="20"/>
              </w:rPr>
              <w:t xml:space="preserve">assessment.*</w:t>
            </w:r>
          </w:p>
        </w:tc>
        <w:tc>
          <w:tcPr>
            <w:tcW w:type="dxa" w:w="4500"/>
            <w:shd w:fill="FFFFFF" w:val="clear"/>
            <w:vAlign w:val="center"/>
          </w:tcPr>
          <w:p>
            <w:pPr>
              <w:spacing w:after="60" w:before="60"/>
              <w:ind w:left="115"/>
            </w:pPr>
            <w:r>
              <w:rPr>
                <w:b w:val="false"/>
                <w:bCs w:val="false"/>
                <w:color w:val="4A4A4A"/>
                <w:sz w:val="20"/>
                <w:szCs w:val="20"/>
              </w:rPr>
              <w:t xml:space="preserve">exams, questions, student_answers, exam_attempts</w:t>
            </w:r>
          </w:p>
        </w:tc>
      </w:tr>
      <w:tr>
        <w:tc>
          <w:tcPr>
            <w:tcW w:type="dxa" w:w="4500"/>
            <w:shd w:fill="F9FAFB" w:val="clear"/>
            <w:vAlign w:val="center"/>
          </w:tcPr>
          <w:p>
            <w:pPr>
              <w:spacing w:after="60" w:before="60"/>
              <w:ind w:left="115"/>
            </w:pPr>
            <w:r>
              <w:rPr>
                <w:b w:val="false"/>
                <w:bCs w:val="false"/>
                <w:color w:val="4A4A4A"/>
                <w:sz w:val="20"/>
                <w:szCs w:val="20"/>
              </w:rPr>
              <w:t xml:space="preserve">students.*</w:t>
            </w:r>
          </w:p>
        </w:tc>
        <w:tc>
          <w:tcPr>
            <w:tcW w:type="dxa" w:w="4500"/>
            <w:shd w:fill="F9FAFB" w:val="clear"/>
            <w:vAlign w:val="center"/>
          </w:tcPr>
          <w:p>
            <w:pPr>
              <w:spacing w:after="60" w:before="60"/>
              <w:ind w:left="115"/>
            </w:pPr>
            <w:r>
              <w:rPr>
                <w:b w:val="false"/>
                <w:bCs w:val="false"/>
                <w:color w:val="4A4A4A"/>
                <w:sz w:val="20"/>
                <w:szCs w:val="20"/>
              </w:rPr>
              <w:t xml:space="preserve">student_profiles, enrollment, digital_twin_snapshots, gap_records</w:t>
            </w:r>
          </w:p>
        </w:tc>
      </w:tr>
      <w:tr>
        <w:tc>
          <w:tcPr>
            <w:tcW w:type="dxa" w:w="4500"/>
            <w:shd w:fill="FFFFFF" w:val="clear"/>
            <w:vAlign w:val="center"/>
          </w:tcPr>
          <w:p>
            <w:pPr>
              <w:spacing w:after="60" w:before="60"/>
              <w:ind w:left="115"/>
            </w:pPr>
            <w:r>
              <w:rPr>
                <w:b w:val="false"/>
                <w:bCs w:val="false"/>
                <w:color w:val="4A4A4A"/>
                <w:sz w:val="20"/>
                <w:szCs w:val="20"/>
              </w:rPr>
              <w:t xml:space="preserve">schools.*</w:t>
            </w:r>
          </w:p>
        </w:tc>
        <w:tc>
          <w:tcPr>
            <w:tcW w:type="dxa" w:w="4500"/>
            <w:shd w:fill="FFFFFF" w:val="clear"/>
            <w:vAlign w:val="center"/>
          </w:tcPr>
          <w:p>
            <w:pPr>
              <w:spacing w:after="60" w:before="60"/>
              <w:ind w:left="115"/>
            </w:pPr>
            <w:r>
              <w:rPr>
                <w:b w:val="false"/>
                <w:bCs w:val="false"/>
                <w:color w:val="4A4A4A"/>
                <w:sz w:val="20"/>
                <w:szCs w:val="20"/>
              </w:rPr>
              <w:t xml:space="preserve">schools, school_quality_scores, compliance_reports</w:t>
            </w:r>
          </w:p>
        </w:tc>
      </w:tr>
      <w:tr>
        <w:tc>
          <w:tcPr>
            <w:tcW w:type="dxa" w:w="4500"/>
            <w:shd w:fill="F9FAFB" w:val="clear"/>
            <w:vAlign w:val="center"/>
          </w:tcPr>
          <w:p>
            <w:pPr>
              <w:spacing w:after="60" w:before="60"/>
              <w:ind w:left="115"/>
            </w:pPr>
            <w:r>
              <w:rPr>
                <w:b w:val="false"/>
                <w:bCs w:val="false"/>
                <w:color w:val="4A4A4A"/>
                <w:sz w:val="20"/>
                <w:szCs w:val="20"/>
              </w:rPr>
              <w:t xml:space="preserve">regions.*</w:t>
            </w:r>
          </w:p>
        </w:tc>
        <w:tc>
          <w:tcPr>
            <w:tcW w:type="dxa" w:w="4500"/>
            <w:shd w:fill="F9FAFB" w:val="clear"/>
            <w:vAlign w:val="center"/>
          </w:tcPr>
          <w:p>
            <w:pPr>
              <w:spacing w:after="60" w:before="60"/>
              <w:ind w:left="115"/>
            </w:pPr>
            <w:r>
              <w:rPr>
                <w:b w:val="false"/>
                <w:bCs w:val="false"/>
                <w:color w:val="4A4A4A"/>
                <w:sz w:val="20"/>
                <w:szCs w:val="20"/>
              </w:rPr>
              <w:t xml:space="preserve">regions, region_performance_aggregates</w:t>
            </w:r>
          </w:p>
        </w:tc>
      </w:tr>
      <w:tr>
        <w:tc>
          <w:tcPr>
            <w:tcW w:type="dxa" w:w="4500"/>
            <w:shd w:fill="FFFFFF" w:val="clear"/>
            <w:vAlign w:val="center"/>
          </w:tcPr>
          <w:p>
            <w:pPr>
              <w:spacing w:after="60" w:before="60"/>
              <w:ind w:left="115"/>
            </w:pPr>
            <w:r>
              <w:rPr>
                <w:b w:val="false"/>
                <w:bCs w:val="false"/>
                <w:color w:val="4A4A4A"/>
                <w:sz w:val="20"/>
                <w:szCs w:val="20"/>
              </w:rPr>
              <w:t xml:space="preserve">ministry.*</w:t>
            </w:r>
          </w:p>
        </w:tc>
        <w:tc>
          <w:tcPr>
            <w:tcW w:type="dxa" w:w="4500"/>
            <w:shd w:fill="FFFFFF" w:val="clear"/>
            <w:vAlign w:val="center"/>
          </w:tcPr>
          <w:p>
            <w:pPr>
              <w:spacing w:after="60" w:before="60"/>
              <w:ind w:left="115"/>
            </w:pPr>
            <w:r>
              <w:rPr>
                <w:b w:val="false"/>
                <w:bCs w:val="false"/>
                <w:color w:val="4A4A4A"/>
                <w:sz w:val="20"/>
                <w:szCs w:val="20"/>
              </w:rPr>
              <w:t xml:space="preserve">national_aggregates, policy_events, curriculum_change_log</w:t>
            </w:r>
          </w:p>
        </w:tc>
      </w:tr>
      <w:tr>
        <w:tc>
          <w:tcPr>
            <w:tcW w:type="dxa" w:w="4500"/>
            <w:shd w:fill="F9FAFB" w:val="clear"/>
            <w:vAlign w:val="center"/>
          </w:tcPr>
          <w:p>
            <w:pPr>
              <w:spacing w:after="60" w:before="60"/>
              <w:ind w:left="115"/>
            </w:pPr>
            <w:r>
              <w:rPr>
                <w:b w:val="false"/>
                <w:bCs w:val="false"/>
                <w:color w:val="4A4A4A"/>
                <w:sz w:val="20"/>
                <w:szCs w:val="20"/>
              </w:rPr>
              <w:t xml:space="preserve">sync.*</w:t>
            </w:r>
          </w:p>
        </w:tc>
        <w:tc>
          <w:tcPr>
            <w:tcW w:type="dxa" w:w="4500"/>
            <w:shd w:fill="F9FAFB" w:val="clear"/>
            <w:vAlign w:val="center"/>
          </w:tcPr>
          <w:p>
            <w:pPr>
              <w:spacing w:after="60" w:before="60"/>
              <w:ind w:left="115"/>
            </w:pPr>
            <w:r>
              <w:rPr>
                <w:b w:val="false"/>
                <w:bCs w:val="false"/>
                <w:color w:val="4A4A4A"/>
                <w:sz w:val="20"/>
                <w:szCs w:val="20"/>
              </w:rPr>
              <w:t xml:space="preserve">sync_operations, conflict_log, school_box_heartbeats</w:t>
            </w:r>
          </w:p>
        </w:tc>
      </w:tr>
      <w:tr>
        <w:tc>
          <w:tcPr>
            <w:tcW w:type="dxa" w:w="4500"/>
            <w:shd w:fill="FFFFFF" w:val="clear"/>
            <w:vAlign w:val="center"/>
          </w:tcPr>
          <w:p>
            <w:pPr>
              <w:spacing w:after="60" w:before="60"/>
              <w:ind w:left="115"/>
            </w:pPr>
            <w:r>
              <w:rPr>
                <w:b w:val="false"/>
                <w:bCs w:val="false"/>
                <w:color w:val="4A4A4A"/>
                <w:sz w:val="20"/>
                <w:szCs w:val="20"/>
              </w:rPr>
              <w:t xml:space="preserve">audit.*</w:t>
            </w:r>
          </w:p>
        </w:tc>
        <w:tc>
          <w:tcPr>
            <w:tcW w:type="dxa" w:w="4500"/>
            <w:shd w:fill="FFFFFF" w:val="clear"/>
            <w:vAlign w:val="center"/>
          </w:tcPr>
          <w:p>
            <w:pPr>
              <w:spacing w:after="60" w:before="60"/>
              <w:ind w:left="115"/>
            </w:pPr>
            <w:r>
              <w:rPr>
                <w:b w:val="false"/>
                <w:bCs w:val="false"/>
                <w:color w:val="4A4A4A"/>
                <w:sz w:val="20"/>
                <w:szCs w:val="20"/>
              </w:rPr>
              <w:t xml:space="preserve">access_log, data_change_log, ai_request_log</w:t>
            </w:r>
          </w:p>
        </w:tc>
      </w:tr>
    </w:tbl>
    <w:p>
      <w:pPr>
        <w:pStyle w:val="Heading3"/>
        <w:spacing w:after="80" w:before="240"/>
      </w:pPr>
      <w:r>
        <w:t xml:space="preserve">6.1.3 pgvector Extension</w:t>
      </w:r>
    </w:p>
    <w:p>
      <w:pPr>
        <w:spacing w:after="60" w:before="60"/>
        <w:ind w:left="0"/>
      </w:pPr>
      <w:r>
        <w:rPr>
          <w:color w:val="4A4A4A"/>
          <w:sz w:val="22"/>
          <w:szCs w:val="22"/>
        </w:rPr>
        <w:t xml:space="preserve">The pgvector extension is installed for embedding-based CLO matching. CLO descriptions are pre-embedded using multilingual-e5-large and stored in the clo_embeddings table. Exam question embeddings are compared against these at verification time.</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SELECT clo_id, 1 - (embedding &lt;=&gt; $questionEmbedding) AS similarity</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FROM clo_embeddings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ORDER BY embedding &lt;=&gt; $questionEmbedding</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LIMIT 5;</w:t>
      </w:r>
    </w:p>
    <w:p>
      <w:pPr>
        <w:pStyle w:val="Heading3"/>
        <w:spacing w:after="80" w:before="240"/>
      </w:pPr>
      <w:r>
        <w:t xml:space="preserve">6.1.4 PostgreSQL Configuration</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Parameter</w:t>
            </w:r>
          </w:p>
        </w:tc>
        <w:tc>
          <w:tcPr>
            <w:tcW w:type="dxa" w:w="4500"/>
            <w:shd w:fill="1A4A7A" w:val="clear"/>
            <w:vAlign w:val="center"/>
          </w:tcPr>
          <w:p>
            <w:pPr>
              <w:spacing w:after="60" w:before="60"/>
              <w:ind w:left="115"/>
            </w:pPr>
            <w:r>
              <w:rPr>
                <w:b/>
                <w:bCs/>
                <w:color w:val="FFFFFF"/>
                <w:sz w:val="20"/>
                <w:szCs w:val="20"/>
              </w:rPr>
              <w:t xml:space="preserve">Value</w:t>
            </w:r>
          </w:p>
        </w:tc>
      </w:tr>
      <w:tr>
        <w:tc>
          <w:tcPr>
            <w:tcW w:type="dxa" w:w="4500"/>
            <w:shd w:fill="FFFFFF" w:val="clear"/>
            <w:vAlign w:val="center"/>
          </w:tcPr>
          <w:p>
            <w:pPr>
              <w:spacing w:after="60" w:before="60"/>
              <w:ind w:left="115"/>
            </w:pPr>
            <w:r>
              <w:rPr>
                <w:b w:val="false"/>
                <w:bCs w:val="false"/>
                <w:color w:val="4A4A4A"/>
                <w:sz w:val="20"/>
                <w:szCs w:val="20"/>
              </w:rPr>
              <w:t xml:space="preserve">Version</w:t>
            </w:r>
          </w:p>
        </w:tc>
        <w:tc>
          <w:tcPr>
            <w:tcW w:type="dxa" w:w="4500"/>
            <w:shd w:fill="FFFFFF" w:val="clear"/>
            <w:vAlign w:val="center"/>
          </w:tcPr>
          <w:p>
            <w:pPr>
              <w:spacing w:after="60" w:before="60"/>
              <w:ind w:left="115"/>
            </w:pPr>
            <w:r>
              <w:rPr>
                <w:b w:val="false"/>
                <w:bCs w:val="false"/>
                <w:color w:val="4A4A4A"/>
                <w:sz w:val="20"/>
                <w:szCs w:val="20"/>
              </w:rPr>
              <w:t xml:space="preserve">PostgreSQL 16 on AWS RDS (af-south-1 / Cape Town region)</w:t>
            </w:r>
          </w:p>
        </w:tc>
      </w:tr>
      <w:tr>
        <w:tc>
          <w:tcPr>
            <w:tcW w:type="dxa" w:w="4500"/>
            <w:shd w:fill="F9FAFB" w:val="clear"/>
            <w:vAlign w:val="center"/>
          </w:tcPr>
          <w:p>
            <w:pPr>
              <w:spacing w:after="60" w:before="60"/>
              <w:ind w:left="115"/>
            </w:pPr>
            <w:r>
              <w:rPr>
                <w:b w:val="false"/>
                <w:bCs w:val="false"/>
                <w:color w:val="4A4A4A"/>
                <w:sz w:val="20"/>
                <w:szCs w:val="20"/>
              </w:rPr>
              <w:t xml:space="preserve">Instance</w:t>
            </w:r>
          </w:p>
        </w:tc>
        <w:tc>
          <w:tcPr>
            <w:tcW w:type="dxa" w:w="4500"/>
            <w:shd w:fill="F9FAFB" w:val="clear"/>
            <w:vAlign w:val="center"/>
          </w:tcPr>
          <w:p>
            <w:pPr>
              <w:spacing w:after="60" w:before="60"/>
              <w:ind w:left="115"/>
            </w:pPr>
            <w:r>
              <w:rPr>
                <w:b w:val="false"/>
                <w:bCs w:val="false"/>
                <w:color w:val="4A4A4A"/>
                <w:sz w:val="20"/>
                <w:szCs w:val="20"/>
              </w:rPr>
              <w:t xml:space="preserve">db.r7g.2xlarge (8 vCPU, 64GB RAM) — Multi-AZ with automatic failover</w:t>
            </w:r>
          </w:p>
        </w:tc>
      </w:tr>
      <w:tr>
        <w:tc>
          <w:tcPr>
            <w:tcW w:type="dxa" w:w="4500"/>
            <w:shd w:fill="FFFFFF" w:val="clear"/>
            <w:vAlign w:val="center"/>
          </w:tcPr>
          <w:p>
            <w:pPr>
              <w:spacing w:after="60" w:before="60"/>
              <w:ind w:left="115"/>
            </w:pPr>
            <w:r>
              <w:rPr>
                <w:b w:val="false"/>
                <w:bCs w:val="false"/>
                <w:color w:val="4A4A4A"/>
                <w:sz w:val="20"/>
                <w:szCs w:val="20"/>
              </w:rPr>
              <w:t xml:space="preserve">Storage</w:t>
            </w:r>
          </w:p>
        </w:tc>
        <w:tc>
          <w:tcPr>
            <w:tcW w:type="dxa" w:w="4500"/>
            <w:shd w:fill="FFFFFF" w:val="clear"/>
            <w:vAlign w:val="center"/>
          </w:tcPr>
          <w:p>
            <w:pPr>
              <w:spacing w:after="60" w:before="60"/>
              <w:ind w:left="115"/>
            </w:pPr>
            <w:r>
              <w:rPr>
                <w:b w:val="false"/>
                <w:bCs w:val="false"/>
                <w:color w:val="4A4A4A"/>
                <w:sz w:val="20"/>
                <w:szCs w:val="20"/>
              </w:rPr>
              <w:t xml:space="preserve">2TB gp3 SSD, autoscale to 8TB. Encrypted with AWS KMS.</w:t>
            </w:r>
          </w:p>
        </w:tc>
      </w:tr>
      <w:tr>
        <w:tc>
          <w:tcPr>
            <w:tcW w:type="dxa" w:w="4500"/>
            <w:shd w:fill="F9FAFB" w:val="clear"/>
            <w:vAlign w:val="center"/>
          </w:tcPr>
          <w:p>
            <w:pPr>
              <w:spacing w:after="60" w:before="60"/>
              <w:ind w:left="115"/>
            </w:pPr>
            <w:r>
              <w:rPr>
                <w:b w:val="false"/>
                <w:bCs w:val="false"/>
                <w:color w:val="4A4A4A"/>
                <w:sz w:val="20"/>
                <w:szCs w:val="20"/>
              </w:rPr>
              <w:t xml:space="preserve">Connection pooling</w:t>
            </w:r>
          </w:p>
        </w:tc>
        <w:tc>
          <w:tcPr>
            <w:tcW w:type="dxa" w:w="4500"/>
            <w:shd w:fill="F9FAFB" w:val="clear"/>
            <w:vAlign w:val="center"/>
          </w:tcPr>
          <w:p>
            <w:pPr>
              <w:spacing w:after="60" w:before="60"/>
              <w:ind w:left="115"/>
            </w:pPr>
            <w:r>
              <w:rPr>
                <w:b w:val="false"/>
                <w:bCs w:val="false"/>
                <w:color w:val="4A4A4A"/>
                <w:sz w:val="20"/>
                <w:szCs w:val="20"/>
              </w:rPr>
              <w:t xml:space="preserve">PgBouncer in transaction mode, 200 max server connections per Go API pod set</w:t>
            </w:r>
          </w:p>
        </w:tc>
      </w:tr>
      <w:tr>
        <w:tc>
          <w:tcPr>
            <w:tcW w:type="dxa" w:w="4500"/>
            <w:shd w:fill="FFFFFF" w:val="clear"/>
            <w:vAlign w:val="center"/>
          </w:tcPr>
          <w:p>
            <w:pPr>
              <w:spacing w:after="60" w:before="60"/>
              <w:ind w:left="115"/>
            </w:pPr>
            <w:r>
              <w:rPr>
                <w:b w:val="false"/>
                <w:bCs w:val="false"/>
                <w:color w:val="4A4A4A"/>
                <w:sz w:val="20"/>
                <w:szCs w:val="20"/>
              </w:rPr>
              <w:t xml:space="preserve">Backups</w:t>
            </w:r>
          </w:p>
        </w:tc>
        <w:tc>
          <w:tcPr>
            <w:tcW w:type="dxa" w:w="4500"/>
            <w:shd w:fill="FFFFFF" w:val="clear"/>
            <w:vAlign w:val="center"/>
          </w:tcPr>
          <w:p>
            <w:pPr>
              <w:spacing w:after="60" w:before="60"/>
              <w:ind w:left="115"/>
            </w:pPr>
            <w:r>
              <w:rPr>
                <w:b w:val="false"/>
                <w:bCs w:val="false"/>
                <w:color w:val="4A4A4A"/>
                <w:sz w:val="20"/>
                <w:szCs w:val="20"/>
              </w:rPr>
              <w:t xml:space="preserve">Continuous WAL archiving to S3. Point-in-time recovery to any 5-minute window, 35 days retention.</w:t>
            </w:r>
          </w:p>
        </w:tc>
      </w:tr>
      <w:tr>
        <w:tc>
          <w:tcPr>
            <w:tcW w:type="dxa" w:w="4500"/>
            <w:shd w:fill="F9FAFB" w:val="clear"/>
            <w:vAlign w:val="center"/>
          </w:tcPr>
          <w:p>
            <w:pPr>
              <w:spacing w:after="60" w:before="60"/>
              <w:ind w:left="115"/>
            </w:pPr>
            <w:r>
              <w:rPr>
                <w:b w:val="false"/>
                <w:bCs w:val="false"/>
                <w:color w:val="4A4A4A"/>
                <w:sz w:val="20"/>
                <w:szCs w:val="20"/>
              </w:rPr>
              <w:t xml:space="preserve">Read replica</w:t>
            </w:r>
          </w:p>
        </w:tc>
        <w:tc>
          <w:tcPr>
            <w:tcW w:type="dxa" w:w="4500"/>
            <w:shd w:fill="F9FAFB" w:val="clear"/>
            <w:vAlign w:val="center"/>
          </w:tcPr>
          <w:p>
            <w:pPr>
              <w:spacing w:after="60" w:before="60"/>
              <w:ind w:left="115"/>
            </w:pPr>
            <w:r>
              <w:rPr>
                <w:b w:val="false"/>
                <w:bCs w:val="false"/>
                <w:color w:val="4A4A4A"/>
                <w:sz w:val="20"/>
                <w:szCs w:val="20"/>
              </w:rPr>
              <w:t xml:space="preserve">One read replica in same AZ for Ministry report queries (heavy aggregations isolated here).</w:t>
            </w:r>
          </w:p>
        </w:tc>
      </w:tr>
      <w:tr>
        <w:tc>
          <w:tcPr>
            <w:tcW w:type="dxa" w:w="4500"/>
            <w:shd w:fill="FFFFFF" w:val="clear"/>
            <w:vAlign w:val="center"/>
          </w:tcPr>
          <w:p>
            <w:pPr>
              <w:spacing w:after="60" w:before="60"/>
              <w:ind w:left="115"/>
            </w:pPr>
            <w:r>
              <w:rPr>
                <w:b w:val="false"/>
                <w:bCs w:val="false"/>
                <w:color w:val="4A4A4A"/>
                <w:sz w:val="20"/>
                <w:szCs w:val="20"/>
              </w:rPr>
              <w:t xml:space="preserve">Monitoring</w:t>
            </w:r>
          </w:p>
        </w:tc>
        <w:tc>
          <w:tcPr>
            <w:tcW w:type="dxa" w:w="4500"/>
            <w:shd w:fill="FFFFFF" w:val="clear"/>
            <w:vAlign w:val="center"/>
          </w:tcPr>
          <w:p>
            <w:pPr>
              <w:spacing w:after="60" w:before="60"/>
              <w:ind w:left="115"/>
            </w:pPr>
            <w:r>
              <w:rPr>
                <w:b w:val="false"/>
                <w:bCs w:val="false"/>
                <w:color w:val="4A4A4A"/>
                <w:sz w:val="20"/>
                <w:szCs w:val="20"/>
              </w:rPr>
              <w:t xml:space="preserve">pg_stat_statements enabled. Slow query log (&gt;200ms) to CloudWatch. pgBadger weekly report.</w:t>
            </w:r>
          </w:p>
        </w:tc>
      </w:tr>
    </w:tbl>
    <w:p>
      <w:pPr>
        <w:pStyle w:val="Heading2"/>
        <w:spacing w:after="120" w:before="320"/>
      </w:pPr>
      <w:r>
        <w:t xml:space="preserve">6.2 Neo4j — Curriculum Knowledge Graph</w:t>
      </w:r>
    </w:p>
    <w:p>
      <w:pPr>
        <w:spacing w:after="60" w:before="60"/>
        <w:ind w:left="0"/>
      </w:pPr>
      <w:r>
        <w:rPr>
          <w:color w:val="4A4A4A"/>
          <w:sz w:val="22"/>
          <w:szCs w:val="22"/>
        </w:rPr>
        <w:t xml:space="preserve">Neo4j 5.x Enterprise stores the curriculum intelligence graph: subjects, topics, CLOs, questions, careers, and all relationships between them. Its value over PostgreSQL is variable-depth traversal — finding prerequisite chains, CLO coverage gaps, and career readiness scores without complex recursive SQL.</w:t>
      </w:r>
    </w:p>
    <w:p>
      <w:pPr>
        <w:pStyle w:val="Heading3"/>
        <w:spacing w:after="80" w:before="240"/>
      </w:pPr>
      <w:r>
        <w:t xml:space="preserve">6.2.1 Node Types and Properties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Node Label</w:t>
            </w:r>
          </w:p>
        </w:tc>
        <w:tc>
          <w:tcPr>
            <w:tcW w:type="dxa" w:w="4500"/>
            <w:shd w:fill="1A4A7A" w:val="clear"/>
            <w:vAlign w:val="center"/>
          </w:tcPr>
          <w:p>
            <w:pPr>
              <w:spacing w:after="60" w:before="60"/>
              <w:ind w:left="115"/>
            </w:pPr>
            <w:r>
              <w:rPr>
                <w:b/>
                <w:bCs/>
                <w:color w:val="FFFFFF"/>
                <w:sz w:val="20"/>
                <w:szCs w:val="20"/>
              </w:rPr>
              <w:t xml:space="preserve">Key Properties</w:t>
            </w:r>
          </w:p>
        </w:tc>
      </w:tr>
      <w:tr>
        <w:tc>
          <w:tcPr>
            <w:tcW w:type="dxa" w:w="4500"/>
            <w:shd w:fill="FFFFFF" w:val="clear"/>
            <w:vAlign w:val="center"/>
          </w:tcPr>
          <w:p>
            <w:pPr>
              <w:spacing w:after="60" w:before="60"/>
              <w:ind w:left="115"/>
            </w:pPr>
            <w:r>
              <w:rPr>
                <w:b w:val="false"/>
                <w:bCs w:val="false"/>
                <w:color w:val="4A4A4A"/>
                <w:sz w:val="20"/>
                <w:szCs w:val="20"/>
              </w:rPr>
              <w:t xml:space="preserve">(:Subject)</w:t>
            </w:r>
          </w:p>
        </w:tc>
        <w:tc>
          <w:tcPr>
            <w:tcW w:type="dxa" w:w="4500"/>
            <w:shd w:fill="FFFFFF" w:val="clear"/>
            <w:vAlign w:val="center"/>
          </w:tcPr>
          <w:p>
            <w:pPr>
              <w:spacing w:after="60" w:before="60"/>
              <w:ind w:left="115"/>
            </w:pPr>
            <w:r>
              <w:rPr>
                <w:b w:val="false"/>
                <w:bCs w:val="false"/>
                <w:color w:val="4A4A4A"/>
                <w:sz w:val="20"/>
                <w:szCs w:val="20"/>
              </w:rPr>
              <w:t xml:space="preserve">code, name, gradeLevel, description, updatedAt</w:t>
            </w:r>
          </w:p>
        </w:tc>
      </w:tr>
      <w:tr>
        <w:tc>
          <w:tcPr>
            <w:tcW w:type="dxa" w:w="4500"/>
            <w:shd w:fill="F9FAFB" w:val="clear"/>
            <w:vAlign w:val="center"/>
          </w:tcPr>
          <w:p>
            <w:pPr>
              <w:spacing w:after="60" w:before="60"/>
              <w:ind w:left="115"/>
            </w:pPr>
            <w:r>
              <w:rPr>
                <w:b w:val="false"/>
                <w:bCs w:val="false"/>
                <w:color w:val="4A4A4A"/>
                <w:sz w:val="20"/>
                <w:szCs w:val="20"/>
              </w:rPr>
              <w:t xml:space="preserve">(:Topic)</w:t>
            </w:r>
          </w:p>
        </w:tc>
        <w:tc>
          <w:tcPr>
            <w:tcW w:type="dxa" w:w="4500"/>
            <w:shd w:fill="F9FAFB" w:val="clear"/>
            <w:vAlign w:val="center"/>
          </w:tcPr>
          <w:p>
            <w:pPr>
              <w:spacing w:after="60" w:before="60"/>
              <w:ind w:left="115"/>
            </w:pPr>
            <w:r>
              <w:rPr>
                <w:b w:val="false"/>
                <w:bCs w:val="false"/>
                <w:color w:val="4A4A4A"/>
                <w:sz w:val="20"/>
                <w:szCs w:val="20"/>
              </w:rPr>
              <w:t xml:space="preserve">id, name, subjectCode, estimatedHours, examWeight, bloomLevel</w:t>
            </w:r>
          </w:p>
        </w:tc>
      </w:tr>
      <w:tr>
        <w:tc>
          <w:tcPr>
            <w:tcW w:type="dxa" w:w="4500"/>
            <w:shd w:fill="FFFFFF" w:val="clear"/>
            <w:vAlign w:val="center"/>
          </w:tcPr>
          <w:p>
            <w:pPr>
              <w:spacing w:after="60" w:before="60"/>
              <w:ind w:left="115"/>
            </w:pPr>
            <w:r>
              <w:rPr>
                <w:b w:val="false"/>
                <w:bCs w:val="false"/>
                <w:color w:val="4A4A4A"/>
                <w:sz w:val="20"/>
                <w:szCs w:val="20"/>
              </w:rPr>
              <w:t xml:space="preserve">(:CLO)</w:t>
            </w:r>
          </w:p>
        </w:tc>
        <w:tc>
          <w:tcPr>
            <w:tcW w:type="dxa" w:w="4500"/>
            <w:shd w:fill="FFFFFF" w:val="clear"/>
            <w:vAlign w:val="center"/>
          </w:tcPr>
          <w:p>
            <w:pPr>
              <w:spacing w:after="60" w:before="60"/>
              <w:ind w:left="115"/>
            </w:pPr>
            <w:r>
              <w:rPr>
                <w:b w:val="false"/>
                <w:bCs w:val="false"/>
                <w:color w:val="4A4A4A"/>
                <w:sz w:val="20"/>
                <w:szCs w:val="20"/>
              </w:rPr>
              <w:t xml:space="preserve">code, description, bloomLevel, gradeLevel, mandatory, createdAt</w:t>
            </w:r>
          </w:p>
        </w:tc>
      </w:tr>
      <w:tr>
        <w:tc>
          <w:tcPr>
            <w:tcW w:type="dxa" w:w="4500"/>
            <w:shd w:fill="F9FAFB" w:val="clear"/>
            <w:vAlign w:val="center"/>
          </w:tcPr>
          <w:p>
            <w:pPr>
              <w:spacing w:after="60" w:before="60"/>
              <w:ind w:left="115"/>
            </w:pPr>
            <w:r>
              <w:rPr>
                <w:b w:val="false"/>
                <w:bCs w:val="false"/>
                <w:color w:val="4A4A4A"/>
                <w:sz w:val="20"/>
                <w:szCs w:val="20"/>
              </w:rPr>
              <w:t xml:space="preserve">(:Question)</w:t>
            </w:r>
          </w:p>
        </w:tc>
        <w:tc>
          <w:tcPr>
            <w:tcW w:type="dxa" w:w="4500"/>
            <w:shd w:fill="F9FAFB" w:val="clear"/>
            <w:vAlign w:val="center"/>
          </w:tcPr>
          <w:p>
            <w:pPr>
              <w:spacing w:after="60" w:before="60"/>
              <w:ind w:left="115"/>
            </w:pPr>
            <w:r>
              <w:rPr>
                <w:b w:val="false"/>
                <w:bCs w:val="false"/>
                <w:color w:val="4A4A4A"/>
                <w:sz w:val="20"/>
                <w:szCs w:val="20"/>
              </w:rPr>
              <w:t xml:space="preserve">id, text, difficultyLevel, bloomLevel, type, examYear</w:t>
            </w:r>
          </w:p>
        </w:tc>
      </w:tr>
      <w:tr>
        <w:tc>
          <w:tcPr>
            <w:tcW w:type="dxa" w:w="4500"/>
            <w:shd w:fill="FFFFFF" w:val="clear"/>
            <w:vAlign w:val="center"/>
          </w:tcPr>
          <w:p>
            <w:pPr>
              <w:spacing w:after="60" w:before="60"/>
              <w:ind w:left="115"/>
            </w:pPr>
            <w:r>
              <w:rPr>
                <w:b w:val="false"/>
                <w:bCs w:val="false"/>
                <w:color w:val="4A4A4A"/>
                <w:sz w:val="20"/>
                <w:szCs w:val="20"/>
              </w:rPr>
              <w:t xml:space="preserve">(:Exam)</w:t>
            </w:r>
          </w:p>
        </w:tc>
        <w:tc>
          <w:tcPr>
            <w:tcW w:type="dxa" w:w="4500"/>
            <w:shd w:fill="FFFFFF" w:val="clear"/>
            <w:vAlign w:val="center"/>
          </w:tcPr>
          <w:p>
            <w:pPr>
              <w:spacing w:after="60" w:before="60"/>
              <w:ind w:left="115"/>
            </w:pPr>
            <w:r>
              <w:rPr>
                <w:b w:val="false"/>
                <w:bCs w:val="false"/>
                <w:color w:val="4A4A4A"/>
                <w:sz w:val="20"/>
                <w:szCs w:val="20"/>
              </w:rPr>
              <w:t xml:space="preserve">id, subjectCode, gradeLevel, year, term, totalMarks</w:t>
            </w:r>
          </w:p>
        </w:tc>
      </w:tr>
      <w:tr>
        <w:tc>
          <w:tcPr>
            <w:tcW w:type="dxa" w:w="4500"/>
            <w:shd w:fill="F9FAFB" w:val="clear"/>
            <w:vAlign w:val="center"/>
          </w:tcPr>
          <w:p>
            <w:pPr>
              <w:spacing w:after="60" w:before="60"/>
              <w:ind w:left="115"/>
            </w:pPr>
            <w:r>
              <w:rPr>
                <w:b w:val="false"/>
                <w:bCs w:val="false"/>
                <w:color w:val="4A4A4A"/>
                <w:sz w:val="20"/>
                <w:szCs w:val="20"/>
              </w:rPr>
              <w:t xml:space="preserve">(:Student)</w:t>
            </w:r>
          </w:p>
        </w:tc>
        <w:tc>
          <w:tcPr>
            <w:tcW w:type="dxa" w:w="4500"/>
            <w:shd w:fill="F9FAFB" w:val="clear"/>
            <w:vAlign w:val="center"/>
          </w:tcPr>
          <w:p>
            <w:pPr>
              <w:spacing w:after="60" w:before="60"/>
              <w:ind w:left="115"/>
            </w:pPr>
            <w:r>
              <w:rPr>
                <w:b w:val="false"/>
                <w:bCs w:val="false"/>
                <w:color w:val="4A4A4A"/>
                <w:sz w:val="20"/>
                <w:szCs w:val="20"/>
              </w:rPr>
              <w:t xml:space="preserve">id, schoolId, gradeLevel — lightweight mirror for graph traversal</w:t>
            </w:r>
          </w:p>
        </w:tc>
      </w:tr>
      <w:tr>
        <w:tc>
          <w:tcPr>
            <w:tcW w:type="dxa" w:w="4500"/>
            <w:shd w:fill="FFFFFF" w:val="clear"/>
            <w:vAlign w:val="center"/>
          </w:tcPr>
          <w:p>
            <w:pPr>
              <w:spacing w:after="60" w:before="60"/>
              <w:ind w:left="115"/>
            </w:pPr>
            <w:r>
              <w:rPr>
                <w:b w:val="false"/>
                <w:bCs w:val="false"/>
                <w:color w:val="4A4A4A"/>
                <w:sz w:val="20"/>
                <w:szCs w:val="20"/>
              </w:rPr>
              <w:t xml:space="preserve">(:Career)</w:t>
            </w:r>
          </w:p>
        </w:tc>
        <w:tc>
          <w:tcPr>
            <w:tcW w:type="dxa" w:w="4500"/>
            <w:shd w:fill="FFFFFF" w:val="clear"/>
            <w:vAlign w:val="center"/>
          </w:tcPr>
          <w:p>
            <w:pPr>
              <w:spacing w:after="60" w:before="60"/>
              <w:ind w:left="115"/>
            </w:pPr>
            <w:r>
              <w:rPr>
                <w:b w:val="false"/>
                <w:bCs w:val="false"/>
                <w:color w:val="4A4A4A"/>
                <w:sz w:val="20"/>
                <w:szCs w:val="20"/>
              </w:rPr>
              <w:t xml:space="preserve">id, name, sector, requiredEducationLevel, description</w:t>
            </w:r>
          </w:p>
        </w:tc>
      </w:tr>
      <w:tr>
        <w:tc>
          <w:tcPr>
            <w:tcW w:type="dxa" w:w="4500"/>
            <w:shd w:fill="F9FAFB" w:val="clear"/>
            <w:vAlign w:val="center"/>
          </w:tcPr>
          <w:p>
            <w:pPr>
              <w:spacing w:after="60" w:before="60"/>
              <w:ind w:left="115"/>
            </w:pPr>
            <w:r>
              <w:rPr>
                <w:b w:val="false"/>
                <w:bCs w:val="false"/>
                <w:color w:val="4A4A4A"/>
                <w:sz w:val="20"/>
                <w:szCs w:val="20"/>
              </w:rPr>
              <w:t xml:space="preserve">(:School)</w:t>
            </w:r>
          </w:p>
        </w:tc>
        <w:tc>
          <w:tcPr>
            <w:tcW w:type="dxa" w:w="4500"/>
            <w:shd w:fill="F9FAFB" w:val="clear"/>
            <w:vAlign w:val="center"/>
          </w:tcPr>
          <w:p>
            <w:pPr>
              <w:spacing w:after="60" w:before="60"/>
              <w:ind w:left="115"/>
            </w:pPr>
            <w:r>
              <w:rPr>
                <w:b w:val="false"/>
                <w:bCs w:val="false"/>
                <w:color w:val="4A4A4A"/>
                <w:sz w:val="20"/>
                <w:szCs w:val="20"/>
              </w:rPr>
              <w:t xml:space="preserve">id, name, regionId, type — for school-scoped aggregations</w:t>
            </w:r>
          </w:p>
        </w:tc>
      </w:tr>
    </w:tbl>
    <w:p>
      <w:pPr>
        <w:pStyle w:val="Heading3"/>
        <w:spacing w:after="80" w:before="240"/>
      </w:pPr>
      <w:r>
        <w:t xml:space="preserve">6.2.2 Relationship Types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Relationship</w:t>
            </w:r>
          </w:p>
        </w:tc>
        <w:tc>
          <w:tcPr>
            <w:tcW w:type="dxa" w:w="4500"/>
            <w:shd w:fill="1A4A7A" w:val="clear"/>
            <w:vAlign w:val="center"/>
          </w:tcPr>
          <w:p>
            <w:pPr>
              <w:spacing w:after="60" w:before="60"/>
              <w:ind w:left="115"/>
            </w:pPr>
            <w:r>
              <w:rPr>
                <w:b/>
                <w:bCs/>
                <w:color w:val="FFFFFF"/>
                <w:sz w:val="20"/>
                <w:szCs w:val="20"/>
              </w:rPr>
              <w:t xml:space="preserve">Direction and Properties</w:t>
            </w:r>
          </w:p>
        </w:tc>
      </w:tr>
      <w:tr>
        <w:tc>
          <w:tcPr>
            <w:tcW w:type="dxa" w:w="4500"/>
            <w:shd w:fill="FFFFFF" w:val="clear"/>
            <w:vAlign w:val="center"/>
          </w:tcPr>
          <w:p>
            <w:pPr>
              <w:spacing w:after="60" w:before="60"/>
              <w:ind w:left="115"/>
            </w:pPr>
            <w:r>
              <w:rPr>
                <w:b w:val="false"/>
                <w:bCs w:val="false"/>
                <w:color w:val="4A4A4A"/>
                <w:sz w:val="20"/>
                <w:szCs w:val="20"/>
              </w:rPr>
              <w:t xml:space="preserve">[:HAS_TOPIC]</w:t>
            </w:r>
          </w:p>
        </w:tc>
        <w:tc>
          <w:tcPr>
            <w:tcW w:type="dxa" w:w="4500"/>
            <w:shd w:fill="FFFFFF" w:val="clear"/>
            <w:vAlign w:val="center"/>
          </w:tcPr>
          <w:p>
            <w:pPr>
              <w:spacing w:after="60" w:before="60"/>
              <w:ind w:left="115"/>
            </w:pPr>
            <w:r>
              <w:rPr>
                <w:b w:val="false"/>
                <w:bCs w:val="false"/>
                <w:color w:val="4A4A4A"/>
                <w:sz w:val="20"/>
                <w:szCs w:val="20"/>
              </w:rPr>
              <w:t xml:space="preserve">Subject → Topic</w:t>
            </w:r>
          </w:p>
        </w:tc>
      </w:tr>
      <w:tr>
        <w:tc>
          <w:tcPr>
            <w:tcW w:type="dxa" w:w="4500"/>
            <w:shd w:fill="F9FAFB" w:val="clear"/>
            <w:vAlign w:val="center"/>
          </w:tcPr>
          <w:p>
            <w:pPr>
              <w:spacing w:after="60" w:before="60"/>
              <w:ind w:left="115"/>
            </w:pPr>
            <w:r>
              <w:rPr>
                <w:b w:val="false"/>
                <w:bCs w:val="false"/>
                <w:color w:val="4A4A4A"/>
                <w:sz w:val="20"/>
                <w:szCs w:val="20"/>
              </w:rPr>
              <w:t xml:space="preserve">[:MAPS_TO_CLO]</w:t>
            </w:r>
          </w:p>
        </w:tc>
        <w:tc>
          <w:tcPr>
            <w:tcW w:type="dxa" w:w="4500"/>
            <w:shd w:fill="F9FAFB" w:val="clear"/>
            <w:vAlign w:val="center"/>
          </w:tcPr>
          <w:p>
            <w:pPr>
              <w:spacing w:after="60" w:before="60"/>
              <w:ind w:left="115"/>
            </w:pPr>
            <w:r>
              <w:rPr>
                <w:b w:val="false"/>
                <w:bCs w:val="false"/>
                <w:color w:val="4A4A4A"/>
                <w:sz w:val="20"/>
                <w:szCs w:val="20"/>
              </w:rPr>
              <w:t xml:space="preserve">Topic → CLO</w:t>
            </w:r>
          </w:p>
        </w:tc>
      </w:tr>
      <w:tr>
        <w:tc>
          <w:tcPr>
            <w:tcW w:type="dxa" w:w="4500"/>
            <w:shd w:fill="FFFFFF" w:val="clear"/>
            <w:vAlign w:val="center"/>
          </w:tcPr>
          <w:p>
            <w:pPr>
              <w:spacing w:after="60" w:before="60"/>
              <w:ind w:left="115"/>
            </w:pPr>
            <w:r>
              <w:rPr>
                <w:b w:val="false"/>
                <w:bCs w:val="false"/>
                <w:color w:val="4A4A4A"/>
                <w:sz w:val="20"/>
                <w:szCs w:val="20"/>
              </w:rPr>
              <w:t xml:space="preserve">[:ASSESSES]</w:t>
            </w:r>
          </w:p>
        </w:tc>
        <w:tc>
          <w:tcPr>
            <w:tcW w:type="dxa" w:w="4500"/>
            <w:shd w:fill="FFFFFF" w:val="clear"/>
            <w:vAlign w:val="center"/>
          </w:tcPr>
          <w:p>
            <w:pPr>
              <w:spacing w:after="60" w:before="60"/>
              <w:ind w:left="115"/>
            </w:pPr>
            <w:r>
              <w:rPr>
                <w:b w:val="false"/>
                <w:bCs w:val="false"/>
                <w:color w:val="4A4A4A"/>
                <w:sz w:val="20"/>
                <w:szCs w:val="20"/>
              </w:rPr>
              <w:t xml:space="preserve">Question → CLO  {alignmentScore: float}</w:t>
            </w:r>
          </w:p>
        </w:tc>
      </w:tr>
      <w:tr>
        <w:tc>
          <w:tcPr>
            <w:tcW w:type="dxa" w:w="4500"/>
            <w:shd w:fill="F9FAFB" w:val="clear"/>
            <w:vAlign w:val="center"/>
          </w:tcPr>
          <w:p>
            <w:pPr>
              <w:spacing w:after="60" w:before="60"/>
              <w:ind w:left="115"/>
            </w:pPr>
            <w:r>
              <w:rPr>
                <w:b w:val="false"/>
                <w:bCs w:val="false"/>
                <w:color w:val="4A4A4A"/>
                <w:sz w:val="20"/>
                <w:szCs w:val="20"/>
              </w:rPr>
              <w:t xml:space="preserve">[:PART_OF]</w:t>
            </w:r>
          </w:p>
        </w:tc>
        <w:tc>
          <w:tcPr>
            <w:tcW w:type="dxa" w:w="4500"/>
            <w:shd w:fill="F9FAFB" w:val="clear"/>
            <w:vAlign w:val="center"/>
          </w:tcPr>
          <w:p>
            <w:pPr>
              <w:spacing w:after="60" w:before="60"/>
              <w:ind w:left="115"/>
            </w:pPr>
            <w:r>
              <w:rPr>
                <w:b w:val="false"/>
                <w:bCs w:val="false"/>
                <w:color w:val="4A4A4A"/>
                <w:sz w:val="20"/>
                <w:szCs w:val="20"/>
              </w:rPr>
              <w:t xml:space="preserve">Question → Exam</w:t>
            </w:r>
          </w:p>
        </w:tc>
      </w:tr>
      <w:tr>
        <w:tc>
          <w:tcPr>
            <w:tcW w:type="dxa" w:w="4500"/>
            <w:shd w:fill="FFFFFF" w:val="clear"/>
            <w:vAlign w:val="center"/>
          </w:tcPr>
          <w:p>
            <w:pPr>
              <w:spacing w:after="60" w:before="60"/>
              <w:ind w:left="115"/>
            </w:pPr>
            <w:r>
              <w:rPr>
                <w:b w:val="false"/>
                <w:bCs w:val="false"/>
                <w:color w:val="4A4A4A"/>
                <w:sz w:val="20"/>
                <w:szCs w:val="20"/>
              </w:rPr>
              <w:t xml:space="preserve">[:ATTEMPTED]</w:t>
            </w:r>
          </w:p>
        </w:tc>
        <w:tc>
          <w:tcPr>
            <w:tcW w:type="dxa" w:w="4500"/>
            <w:shd w:fill="FFFFFF" w:val="clear"/>
            <w:vAlign w:val="center"/>
          </w:tcPr>
          <w:p>
            <w:pPr>
              <w:spacing w:after="60" w:before="60"/>
              <w:ind w:left="115"/>
            </w:pPr>
            <w:r>
              <w:rPr>
                <w:b w:val="false"/>
                <w:bCs w:val="false"/>
                <w:color w:val="4A4A4A"/>
                <w:sz w:val="20"/>
                <w:szCs w:val="20"/>
              </w:rPr>
              <w:t xml:space="preserve">Student → Exam  {score, attemptDate}</w:t>
            </w:r>
          </w:p>
        </w:tc>
      </w:tr>
      <w:tr>
        <w:tc>
          <w:tcPr>
            <w:tcW w:type="dxa" w:w="4500"/>
            <w:shd w:fill="F9FAFB" w:val="clear"/>
            <w:vAlign w:val="center"/>
          </w:tcPr>
          <w:p>
            <w:pPr>
              <w:spacing w:after="60" w:before="60"/>
              <w:ind w:left="115"/>
            </w:pPr>
            <w:r>
              <w:rPr>
                <w:b w:val="false"/>
                <w:bCs w:val="false"/>
                <w:color w:val="4A4A4A"/>
                <w:sz w:val="20"/>
                <w:szCs w:val="20"/>
              </w:rPr>
              <w:t xml:space="preserve">[:ANSWERED]</w:t>
            </w:r>
          </w:p>
        </w:tc>
        <w:tc>
          <w:tcPr>
            <w:tcW w:type="dxa" w:w="4500"/>
            <w:shd w:fill="F9FAFB" w:val="clear"/>
            <w:vAlign w:val="center"/>
          </w:tcPr>
          <w:p>
            <w:pPr>
              <w:spacing w:after="60" w:before="60"/>
              <w:ind w:left="115"/>
            </w:pPr>
            <w:r>
              <w:rPr>
                <w:b w:val="false"/>
                <w:bCs w:val="false"/>
                <w:color w:val="4A4A4A"/>
                <w:sz w:val="20"/>
                <w:szCs w:val="20"/>
              </w:rPr>
              <w:t xml:space="preserve">Student → Question  {score, passed, timeSpent}</w:t>
            </w:r>
          </w:p>
        </w:tc>
      </w:tr>
      <w:tr>
        <w:tc>
          <w:tcPr>
            <w:tcW w:type="dxa" w:w="4500"/>
            <w:shd w:fill="FFFFFF" w:val="clear"/>
            <w:vAlign w:val="center"/>
          </w:tcPr>
          <w:p>
            <w:pPr>
              <w:spacing w:after="60" w:before="60"/>
              <w:ind w:left="115"/>
            </w:pPr>
            <w:r>
              <w:rPr>
                <w:b w:val="false"/>
                <w:bCs w:val="false"/>
                <w:color w:val="4A4A4A"/>
                <w:sz w:val="20"/>
                <w:szCs w:val="20"/>
              </w:rPr>
              <w:t xml:space="preserve">[:MASTERED]</w:t>
            </w:r>
          </w:p>
        </w:tc>
        <w:tc>
          <w:tcPr>
            <w:tcW w:type="dxa" w:w="4500"/>
            <w:shd w:fill="FFFFFF" w:val="clear"/>
            <w:vAlign w:val="center"/>
          </w:tcPr>
          <w:p>
            <w:pPr>
              <w:spacing w:after="60" w:before="60"/>
              <w:ind w:left="115"/>
            </w:pPr>
            <w:r>
              <w:rPr>
                <w:b w:val="false"/>
                <w:bCs w:val="false"/>
                <w:color w:val="4A4A4A"/>
                <w:sz w:val="20"/>
                <w:szCs w:val="20"/>
              </w:rPr>
              <w:t xml:space="preserve">Student → Topic  {masteredAt, confidence}</w:t>
            </w:r>
          </w:p>
        </w:tc>
      </w:tr>
      <w:tr>
        <w:tc>
          <w:tcPr>
            <w:tcW w:type="dxa" w:w="4500"/>
            <w:shd w:fill="F9FAFB" w:val="clear"/>
            <w:vAlign w:val="center"/>
          </w:tcPr>
          <w:p>
            <w:pPr>
              <w:spacing w:after="60" w:before="60"/>
              <w:ind w:left="115"/>
            </w:pPr>
            <w:r>
              <w:rPr>
                <w:b w:val="false"/>
                <w:bCs w:val="false"/>
                <w:color w:val="4A4A4A"/>
                <w:sz w:val="20"/>
                <w:szCs w:val="20"/>
              </w:rPr>
              <w:t xml:space="preserve">[:STRUGGLED_WITH]</w:t>
            </w:r>
          </w:p>
        </w:tc>
        <w:tc>
          <w:tcPr>
            <w:tcW w:type="dxa" w:w="4500"/>
            <w:shd w:fill="F9FAFB" w:val="clear"/>
            <w:vAlign w:val="center"/>
          </w:tcPr>
          <w:p>
            <w:pPr>
              <w:spacing w:after="60" w:before="60"/>
              <w:ind w:left="115"/>
            </w:pPr>
            <w:r>
              <w:rPr>
                <w:b w:val="false"/>
                <w:bCs w:val="false"/>
                <w:color w:val="4A4A4A"/>
                <w:sz w:val="20"/>
                <w:szCs w:val="20"/>
              </w:rPr>
              <w:t xml:space="preserve">Student → Topic  {severity: 0–1, attempts}</w:t>
            </w:r>
          </w:p>
        </w:tc>
      </w:tr>
      <w:tr>
        <w:tc>
          <w:tcPr>
            <w:tcW w:type="dxa" w:w="4500"/>
            <w:shd w:fill="FFFFFF" w:val="clear"/>
            <w:vAlign w:val="center"/>
          </w:tcPr>
          <w:p>
            <w:pPr>
              <w:spacing w:after="60" w:before="60"/>
              <w:ind w:left="115"/>
            </w:pPr>
            <w:r>
              <w:rPr>
                <w:b w:val="false"/>
                <w:bCs w:val="false"/>
                <w:color w:val="4A4A4A"/>
                <w:sz w:val="20"/>
                <w:szCs w:val="20"/>
              </w:rPr>
              <w:t xml:space="preserve">[:PREREQUISITE_OF]</w:t>
            </w:r>
          </w:p>
        </w:tc>
        <w:tc>
          <w:tcPr>
            <w:tcW w:type="dxa" w:w="4500"/>
            <w:shd w:fill="FFFFFF" w:val="clear"/>
            <w:vAlign w:val="center"/>
          </w:tcPr>
          <w:p>
            <w:pPr>
              <w:spacing w:after="60" w:before="60"/>
              <w:ind w:left="115"/>
            </w:pPr>
            <w:r>
              <w:rPr>
                <w:b w:val="false"/>
                <w:bCs w:val="false"/>
                <w:color w:val="4A4A4A"/>
                <w:sz w:val="20"/>
                <w:szCs w:val="20"/>
              </w:rPr>
              <w:t xml:space="preserve">Topic → Topic  {weight: float}</w:t>
            </w:r>
          </w:p>
        </w:tc>
      </w:tr>
      <w:tr>
        <w:tc>
          <w:tcPr>
            <w:tcW w:type="dxa" w:w="4500"/>
            <w:shd w:fill="F9FAFB" w:val="clear"/>
            <w:vAlign w:val="center"/>
          </w:tcPr>
          <w:p>
            <w:pPr>
              <w:spacing w:after="60" w:before="60"/>
              <w:ind w:left="115"/>
            </w:pPr>
            <w:r>
              <w:rPr>
                <w:b w:val="false"/>
                <w:bCs w:val="false"/>
                <w:color w:val="4A4A4A"/>
                <w:sz w:val="20"/>
                <w:szCs w:val="20"/>
              </w:rPr>
              <w:t xml:space="preserve">[:REQUIRES]</w:t>
            </w:r>
          </w:p>
        </w:tc>
        <w:tc>
          <w:tcPr>
            <w:tcW w:type="dxa" w:w="4500"/>
            <w:shd w:fill="F9FAFB" w:val="clear"/>
            <w:vAlign w:val="center"/>
          </w:tcPr>
          <w:p>
            <w:pPr>
              <w:spacing w:after="60" w:before="60"/>
              <w:ind w:left="115"/>
            </w:pPr>
            <w:r>
              <w:rPr>
                <w:b w:val="false"/>
                <w:bCs w:val="false"/>
                <w:color w:val="4A4A4A"/>
                <w:sz w:val="20"/>
                <w:szCs w:val="20"/>
              </w:rPr>
              <w:t xml:space="preserve">Career → Topic  {importance: high/medium/low}</w:t>
            </w:r>
          </w:p>
        </w:tc>
      </w:tr>
      <w:tr>
        <w:tc>
          <w:tcPr>
            <w:tcW w:type="dxa" w:w="4500"/>
            <w:shd w:fill="FFFFFF" w:val="clear"/>
            <w:vAlign w:val="center"/>
          </w:tcPr>
          <w:p>
            <w:pPr>
              <w:spacing w:after="60" w:before="60"/>
              <w:ind w:left="115"/>
            </w:pPr>
            <w:r>
              <w:rPr>
                <w:b w:val="false"/>
                <w:bCs w:val="false"/>
                <w:color w:val="4A4A4A"/>
                <w:sz w:val="20"/>
                <w:szCs w:val="20"/>
              </w:rPr>
              <w:t xml:space="preserve">[:ENROLLS]</w:t>
            </w:r>
          </w:p>
        </w:tc>
        <w:tc>
          <w:tcPr>
            <w:tcW w:type="dxa" w:w="4500"/>
            <w:shd w:fill="FFFFFF" w:val="clear"/>
            <w:vAlign w:val="center"/>
          </w:tcPr>
          <w:p>
            <w:pPr>
              <w:spacing w:after="60" w:before="60"/>
              <w:ind w:left="115"/>
            </w:pPr>
            <w:r>
              <w:rPr>
                <w:b w:val="false"/>
                <w:bCs w:val="false"/>
                <w:color w:val="4A4A4A"/>
                <w:sz w:val="20"/>
                <w:szCs w:val="20"/>
              </w:rPr>
              <w:t xml:space="preserve">School → Student</w:t>
            </w:r>
          </w:p>
        </w:tc>
      </w:tr>
    </w:tbl>
    <w:p>
      <w:pPr>
        <w:pStyle w:val="Heading3"/>
        <w:spacing w:after="80" w:before="240"/>
      </w:pPr>
      <w:r>
        <w:t xml:space="preserve">6.2.3 Neo4j Configuration</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Parameter</w:t>
            </w:r>
          </w:p>
        </w:tc>
        <w:tc>
          <w:tcPr>
            <w:tcW w:type="dxa" w:w="4500"/>
            <w:shd w:fill="1A4A7A" w:val="clear"/>
            <w:vAlign w:val="center"/>
          </w:tcPr>
          <w:p>
            <w:pPr>
              <w:spacing w:after="60" w:before="60"/>
              <w:ind w:left="115"/>
            </w:pPr>
            <w:r>
              <w:rPr>
                <w:b/>
                <w:bCs/>
                <w:color w:val="FFFFFF"/>
                <w:sz w:val="20"/>
                <w:szCs w:val="20"/>
              </w:rPr>
              <w:t xml:space="preserve">Value</w:t>
            </w:r>
          </w:p>
        </w:tc>
      </w:tr>
      <w:tr>
        <w:tc>
          <w:tcPr>
            <w:tcW w:type="dxa" w:w="4500"/>
            <w:shd w:fill="FFFFFF" w:val="clear"/>
            <w:vAlign w:val="center"/>
          </w:tcPr>
          <w:p>
            <w:pPr>
              <w:spacing w:after="60" w:before="60"/>
              <w:ind w:left="115"/>
            </w:pPr>
            <w:r>
              <w:rPr>
                <w:b w:val="false"/>
                <w:bCs w:val="false"/>
                <w:color w:val="4A4A4A"/>
                <w:sz w:val="20"/>
                <w:szCs w:val="20"/>
              </w:rPr>
              <w:t xml:space="preserve">Deployment</w:t>
            </w:r>
          </w:p>
        </w:tc>
        <w:tc>
          <w:tcPr>
            <w:tcW w:type="dxa" w:w="4500"/>
            <w:shd w:fill="FFFFFF" w:val="clear"/>
            <w:vAlign w:val="center"/>
          </w:tcPr>
          <w:p>
            <w:pPr>
              <w:spacing w:after="60" w:before="60"/>
              <w:ind w:left="115"/>
            </w:pPr>
            <w:r>
              <w:rPr>
                <w:b w:val="false"/>
                <w:bCs w:val="false"/>
                <w:color w:val="4A4A4A"/>
                <w:sz w:val="20"/>
                <w:szCs w:val="20"/>
              </w:rPr>
              <w:t xml:space="preserve">Neo4j AuraDB Enterprise (AWS af-south-1) or self-hosted on r6g.2xlarge</w:t>
            </w:r>
          </w:p>
        </w:tc>
      </w:tr>
      <w:tr>
        <w:tc>
          <w:tcPr>
            <w:tcW w:type="dxa" w:w="4500"/>
            <w:shd w:fill="F9FAFB" w:val="clear"/>
            <w:vAlign w:val="center"/>
          </w:tcPr>
          <w:p>
            <w:pPr>
              <w:spacing w:after="60" w:before="60"/>
              <w:ind w:left="115"/>
            </w:pPr>
            <w:r>
              <w:rPr>
                <w:b w:val="false"/>
                <w:bCs w:val="false"/>
                <w:color w:val="4A4A4A"/>
                <w:sz w:val="20"/>
                <w:szCs w:val="20"/>
              </w:rPr>
              <w:t xml:space="preserve">Clustering</w:t>
            </w:r>
          </w:p>
        </w:tc>
        <w:tc>
          <w:tcPr>
            <w:tcW w:type="dxa" w:w="4500"/>
            <w:shd w:fill="F9FAFB" w:val="clear"/>
            <w:vAlign w:val="center"/>
          </w:tcPr>
          <w:p>
            <w:pPr>
              <w:spacing w:after="60" w:before="60"/>
              <w:ind w:left="115"/>
            </w:pPr>
            <w:r>
              <w:rPr>
                <w:b w:val="false"/>
                <w:bCs w:val="false"/>
                <w:color w:val="4A4A4A"/>
                <w:sz w:val="20"/>
                <w:szCs w:val="20"/>
              </w:rPr>
              <w:t xml:space="preserve">Causal cluster: 3 core members (one writer, two followers) + 2 read replicas</w:t>
            </w:r>
          </w:p>
        </w:tc>
      </w:tr>
      <w:tr>
        <w:tc>
          <w:tcPr>
            <w:tcW w:type="dxa" w:w="4500"/>
            <w:shd w:fill="FFFFFF" w:val="clear"/>
            <w:vAlign w:val="center"/>
          </w:tcPr>
          <w:p>
            <w:pPr>
              <w:spacing w:after="60" w:before="60"/>
              <w:ind w:left="115"/>
            </w:pPr>
            <w:r>
              <w:rPr>
                <w:b w:val="false"/>
                <w:bCs w:val="false"/>
                <w:color w:val="4A4A4A"/>
                <w:sz w:val="20"/>
                <w:szCs w:val="20"/>
              </w:rPr>
              <w:t xml:space="preserve">Memory</w:t>
            </w:r>
          </w:p>
        </w:tc>
        <w:tc>
          <w:tcPr>
            <w:tcW w:type="dxa" w:w="4500"/>
            <w:shd w:fill="FFFFFF" w:val="clear"/>
            <w:vAlign w:val="center"/>
          </w:tcPr>
          <w:p>
            <w:pPr>
              <w:spacing w:after="60" w:before="60"/>
              <w:ind w:left="115"/>
            </w:pPr>
            <w:r>
              <w:rPr>
                <w:b w:val="false"/>
                <w:bCs w:val="false"/>
                <w:color w:val="4A4A4A"/>
                <w:sz w:val="20"/>
                <w:szCs w:val="20"/>
              </w:rPr>
              <w:t xml:space="preserve">heap.initial_size=8g, heap.max_size=16g, pagecache.size=32g</w:t>
            </w:r>
          </w:p>
        </w:tc>
      </w:tr>
      <w:tr>
        <w:tc>
          <w:tcPr>
            <w:tcW w:type="dxa" w:w="4500"/>
            <w:shd w:fill="F9FAFB" w:val="clear"/>
            <w:vAlign w:val="center"/>
          </w:tcPr>
          <w:p>
            <w:pPr>
              <w:spacing w:after="60" w:before="60"/>
              <w:ind w:left="115"/>
            </w:pPr>
            <w:r>
              <w:rPr>
                <w:b w:val="false"/>
                <w:bCs w:val="false"/>
                <w:color w:val="4A4A4A"/>
                <w:sz w:val="20"/>
                <w:szCs w:val="20"/>
              </w:rPr>
              <w:t xml:space="preserve">Indexes</w:t>
            </w:r>
          </w:p>
        </w:tc>
        <w:tc>
          <w:tcPr>
            <w:tcW w:type="dxa" w:w="4500"/>
            <w:shd w:fill="F9FAFB" w:val="clear"/>
            <w:vAlign w:val="center"/>
          </w:tcPr>
          <w:p>
            <w:pPr>
              <w:spacing w:after="60" w:before="60"/>
              <w:ind w:left="115"/>
            </w:pPr>
            <w:r>
              <w:rPr>
                <w:b w:val="false"/>
                <w:bCs w:val="false"/>
                <w:color w:val="4A4A4A"/>
                <w:sz w:val="20"/>
                <w:szCs w:val="20"/>
              </w:rPr>
              <w:t xml:space="preserve">Composite index on (:Student {id, schoolId}), (:CLO {code, gradeLevel}), (:Topic {id, subjectCode})</w:t>
            </w:r>
          </w:p>
        </w:tc>
      </w:tr>
      <w:tr>
        <w:tc>
          <w:tcPr>
            <w:tcW w:type="dxa" w:w="4500"/>
            <w:shd w:fill="FFFFFF" w:val="clear"/>
            <w:vAlign w:val="center"/>
          </w:tcPr>
          <w:p>
            <w:pPr>
              <w:spacing w:after="60" w:before="60"/>
              <w:ind w:left="115"/>
            </w:pPr>
            <w:r>
              <w:rPr>
                <w:b w:val="false"/>
                <w:bCs w:val="false"/>
                <w:color w:val="4A4A4A"/>
                <w:sz w:val="20"/>
                <w:szCs w:val="20"/>
              </w:rPr>
              <w:t xml:space="preserve">Backups</w:t>
            </w:r>
          </w:p>
        </w:tc>
        <w:tc>
          <w:tcPr>
            <w:tcW w:type="dxa" w:w="4500"/>
            <w:shd w:fill="FFFFFF" w:val="clear"/>
            <w:vAlign w:val="center"/>
          </w:tcPr>
          <w:p>
            <w:pPr>
              <w:spacing w:after="60" w:before="60"/>
              <w:ind w:left="115"/>
            </w:pPr>
            <w:r>
              <w:rPr>
                <w:b w:val="false"/>
                <w:bCs w:val="false"/>
                <w:color w:val="4A4A4A"/>
                <w:sz w:val="20"/>
                <w:szCs w:val="20"/>
              </w:rPr>
              <w:t xml:space="preserve">Neo4j Admin backup to S3, daily full + incremental. 30-day retention.</w:t>
            </w:r>
          </w:p>
        </w:tc>
      </w:tr>
      <w:tr>
        <w:tc>
          <w:tcPr>
            <w:tcW w:type="dxa" w:w="4500"/>
            <w:shd w:fill="F9FAFB" w:val="clear"/>
            <w:vAlign w:val="center"/>
          </w:tcPr>
          <w:p>
            <w:pPr>
              <w:spacing w:after="60" w:before="60"/>
              <w:ind w:left="115"/>
            </w:pPr>
            <w:r>
              <w:rPr>
                <w:b w:val="false"/>
                <w:bCs w:val="false"/>
                <w:color w:val="4A4A4A"/>
                <w:sz w:val="20"/>
                <w:szCs w:val="20"/>
              </w:rPr>
              <w:t xml:space="preserve">GDS Plugin</w:t>
            </w:r>
          </w:p>
        </w:tc>
        <w:tc>
          <w:tcPr>
            <w:tcW w:type="dxa" w:w="4500"/>
            <w:shd w:fill="F9FAFB" w:val="clear"/>
            <w:vAlign w:val="center"/>
          </w:tcPr>
          <w:p>
            <w:pPr>
              <w:spacing w:after="60" w:before="60"/>
              <w:ind w:left="115"/>
            </w:pPr>
            <w:r>
              <w:rPr>
                <w:b w:val="false"/>
                <w:bCs w:val="false"/>
                <w:color w:val="4A4A4A"/>
                <w:sz w:val="20"/>
                <w:szCs w:val="20"/>
              </w:rPr>
              <w:t xml:space="preserve">Graph Data Science plugin enabled for topological sort (study plan ordering) and community detection</w:t>
            </w:r>
          </w:p>
        </w:tc>
      </w:tr>
    </w:tbl>
    <w:p>
      <w:pPr>
        <w:pStyle w:val="Heading2"/>
        <w:spacing w:after="120" w:before="320"/>
      </w:pPr>
      <w:r>
        <w:t xml:space="preserve">6.3 Redis — Cache, Queue, and Pub-Sub</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Usage</w:t>
            </w:r>
          </w:p>
        </w:tc>
        <w:tc>
          <w:tcPr>
            <w:tcW w:type="dxa" w:w="4500"/>
            <w:shd w:fill="1A4A7A" w:val="clear"/>
            <w:vAlign w:val="center"/>
          </w:tcPr>
          <w:p>
            <w:pPr>
              <w:spacing w:after="60" w:before="60"/>
              <w:ind w:left="115"/>
            </w:pPr>
            <w:r>
              <w:rPr>
                <w:b/>
                <w:bCs/>
                <w:color w:val="FFFFFF"/>
                <w:sz w:val="20"/>
                <w:szCs w:val="20"/>
              </w:rPr>
              <w:t xml:space="preserve">Detail</w:t>
            </w:r>
          </w:p>
        </w:tc>
      </w:tr>
      <w:tr>
        <w:tc>
          <w:tcPr>
            <w:tcW w:type="dxa" w:w="4500"/>
            <w:shd w:fill="FFFFFF" w:val="clear"/>
            <w:vAlign w:val="center"/>
          </w:tcPr>
          <w:p>
            <w:pPr>
              <w:spacing w:after="60" w:before="60"/>
              <w:ind w:left="115"/>
            </w:pPr>
            <w:r>
              <w:rPr>
                <w:b w:val="false"/>
                <w:bCs w:val="false"/>
                <w:color w:val="4A4A4A"/>
                <w:sz w:val="20"/>
                <w:szCs w:val="20"/>
              </w:rPr>
              <w:t xml:space="preserve">Session store</w:t>
            </w:r>
          </w:p>
        </w:tc>
        <w:tc>
          <w:tcPr>
            <w:tcW w:type="dxa" w:w="4500"/>
            <w:shd w:fill="FFFFFF" w:val="clear"/>
            <w:vAlign w:val="center"/>
          </w:tcPr>
          <w:p>
            <w:pPr>
              <w:spacing w:after="60" w:before="60"/>
              <w:ind w:left="115"/>
            </w:pPr>
            <w:r>
              <w:rPr>
                <w:b w:val="false"/>
                <w:bCs w:val="false"/>
                <w:color w:val="4A4A4A"/>
                <w:sz w:val="20"/>
                <w:szCs w:val="20"/>
              </w:rPr>
              <w:t xml:space="preserve">JWT refresh tokens. TTL: 7 days. Key: session:{userId}</w:t>
            </w:r>
          </w:p>
        </w:tc>
      </w:tr>
      <w:tr>
        <w:tc>
          <w:tcPr>
            <w:tcW w:type="dxa" w:w="4500"/>
            <w:shd w:fill="F9FAFB" w:val="clear"/>
            <w:vAlign w:val="center"/>
          </w:tcPr>
          <w:p>
            <w:pPr>
              <w:spacing w:after="60" w:before="60"/>
              <w:ind w:left="115"/>
            </w:pPr>
            <w:r>
              <w:rPr>
                <w:b w:val="false"/>
                <w:bCs w:val="false"/>
                <w:color w:val="4A4A4A"/>
                <w:sz w:val="20"/>
                <w:szCs w:val="20"/>
              </w:rPr>
              <w:t xml:space="preserve">API response cache</w:t>
            </w:r>
          </w:p>
        </w:tc>
        <w:tc>
          <w:tcPr>
            <w:tcW w:type="dxa" w:w="4500"/>
            <w:shd w:fill="F9FAFB" w:val="clear"/>
            <w:vAlign w:val="center"/>
          </w:tcPr>
          <w:p>
            <w:pPr>
              <w:spacing w:after="60" w:before="60"/>
              <w:ind w:left="115"/>
            </w:pPr>
            <w:r>
              <w:rPr>
                <w:b w:val="false"/>
                <w:bCs w:val="false"/>
                <w:color w:val="4A4A4A"/>
                <w:sz w:val="20"/>
                <w:szCs w:val="20"/>
              </w:rPr>
              <w:t xml:space="preserve">Ministry aggregate queries cached 5 min. School quality scores cached 1 hour.</w:t>
            </w:r>
          </w:p>
        </w:tc>
      </w:tr>
      <w:tr>
        <w:tc>
          <w:tcPr>
            <w:tcW w:type="dxa" w:w="4500"/>
            <w:shd w:fill="FFFFFF" w:val="clear"/>
            <w:vAlign w:val="center"/>
          </w:tcPr>
          <w:p>
            <w:pPr>
              <w:spacing w:after="60" w:before="60"/>
              <w:ind w:left="115"/>
            </w:pPr>
            <w:r>
              <w:rPr>
                <w:b w:val="false"/>
                <w:bCs w:val="false"/>
                <w:color w:val="4A4A4A"/>
                <w:sz w:val="20"/>
                <w:szCs w:val="20"/>
              </w:rPr>
              <w:t xml:space="preserve">Rate limit counters</w:t>
            </w:r>
          </w:p>
        </w:tc>
        <w:tc>
          <w:tcPr>
            <w:tcW w:type="dxa" w:w="4500"/>
            <w:shd w:fill="FFFFFF" w:val="clear"/>
            <w:vAlign w:val="center"/>
          </w:tcPr>
          <w:p>
            <w:pPr>
              <w:spacing w:after="60" w:before="60"/>
              <w:ind w:left="115"/>
            </w:pPr>
            <w:r>
              <w:rPr>
                <w:b w:val="false"/>
                <w:bCs w:val="false"/>
                <w:color w:val="4A4A4A"/>
                <w:sz w:val="20"/>
                <w:szCs w:val="20"/>
              </w:rPr>
              <w:t xml:space="preserve">Kong rate-limiting plugin uses Redis. Shared across all Kong nodes.</w:t>
            </w:r>
          </w:p>
        </w:tc>
      </w:tr>
      <w:tr>
        <w:tc>
          <w:tcPr>
            <w:tcW w:type="dxa" w:w="4500"/>
            <w:shd w:fill="F9FAFB" w:val="clear"/>
            <w:vAlign w:val="center"/>
          </w:tcPr>
          <w:p>
            <w:pPr>
              <w:spacing w:after="60" w:before="60"/>
              <w:ind w:left="115"/>
            </w:pPr>
            <w:r>
              <w:rPr>
                <w:b w:val="false"/>
                <w:bCs w:val="false"/>
                <w:color w:val="4A4A4A"/>
                <w:sz w:val="20"/>
                <w:szCs w:val="20"/>
              </w:rPr>
              <w:t xml:space="preserve">Bull MQ job queue</w:t>
            </w:r>
          </w:p>
        </w:tc>
        <w:tc>
          <w:tcPr>
            <w:tcW w:type="dxa" w:w="4500"/>
            <w:shd w:fill="F9FAFB" w:val="clear"/>
            <w:vAlign w:val="center"/>
          </w:tcPr>
          <w:p>
            <w:pPr>
              <w:spacing w:after="60" w:before="60"/>
              <w:ind w:left="115"/>
            </w:pPr>
            <w:r>
              <w:rPr>
                <w:b w:val="false"/>
                <w:bCs w:val="false"/>
                <w:color w:val="4A4A4A"/>
                <w:sz w:val="20"/>
                <w:szCs w:val="20"/>
              </w:rPr>
              <w:t xml:space="preserve">AI service jobs (study plan generation, batch gap analysis). Persistent, with retry.</w:t>
            </w:r>
          </w:p>
        </w:tc>
      </w:tr>
      <w:tr>
        <w:tc>
          <w:tcPr>
            <w:tcW w:type="dxa" w:w="4500"/>
            <w:shd w:fill="FFFFFF" w:val="clear"/>
            <w:vAlign w:val="center"/>
          </w:tcPr>
          <w:p>
            <w:pPr>
              <w:spacing w:after="60" w:before="60"/>
              <w:ind w:left="115"/>
            </w:pPr>
            <w:r>
              <w:rPr>
                <w:b w:val="false"/>
                <w:bCs w:val="false"/>
                <w:color w:val="4A4A4A"/>
                <w:sz w:val="20"/>
                <w:szCs w:val="20"/>
              </w:rPr>
              <w:t xml:space="preserve">WebSocket pub-sub</w:t>
            </w:r>
          </w:p>
        </w:tc>
        <w:tc>
          <w:tcPr>
            <w:tcW w:type="dxa" w:w="4500"/>
            <w:shd w:fill="FFFFFF" w:val="clear"/>
            <w:vAlign w:val="center"/>
          </w:tcPr>
          <w:p>
            <w:pPr>
              <w:spacing w:after="60" w:before="60"/>
              <w:ind w:left="115"/>
            </w:pPr>
            <w:r>
              <w:rPr>
                <w:b w:val="false"/>
                <w:bCs w:val="false"/>
                <w:color w:val="4A4A4A"/>
                <w:sz w:val="20"/>
                <w:szCs w:val="20"/>
              </w:rPr>
              <w:t xml:space="preserve">Channels: dashboard:ministry, dashboard:region:{id}. Fan-out to all API pods.</w:t>
            </w:r>
          </w:p>
        </w:tc>
      </w:tr>
      <w:tr>
        <w:tc>
          <w:tcPr>
            <w:tcW w:type="dxa" w:w="4500"/>
            <w:shd w:fill="F9FAFB" w:val="clear"/>
            <w:vAlign w:val="center"/>
          </w:tcPr>
          <w:p>
            <w:pPr>
              <w:spacing w:after="60" w:before="60"/>
              <w:ind w:left="115"/>
            </w:pPr>
            <w:r>
              <w:rPr>
                <w:b w:val="false"/>
                <w:bCs w:val="false"/>
                <w:color w:val="4A4A4A"/>
                <w:sz w:val="20"/>
                <w:szCs w:val="20"/>
              </w:rPr>
              <w:t xml:space="preserve">Sync operation lock</w:t>
            </w:r>
          </w:p>
        </w:tc>
        <w:tc>
          <w:tcPr>
            <w:tcW w:type="dxa" w:w="4500"/>
            <w:shd w:fill="F9FAFB" w:val="clear"/>
            <w:vAlign w:val="center"/>
          </w:tcPr>
          <w:p>
            <w:pPr>
              <w:spacing w:after="60" w:before="60"/>
              <w:ind w:left="115"/>
            </w:pPr>
            <w:r>
              <w:rPr>
                <w:b w:val="false"/>
                <w:bCs w:val="false"/>
                <w:color w:val="4A4A4A"/>
                <w:sz w:val="20"/>
                <w:szCs w:val="20"/>
              </w:rPr>
              <w:t xml:space="preserve">Distributed lock during School Box sync to prevent write conflicts. TTL: 30s.</w:t>
            </w:r>
          </w:p>
        </w:tc>
      </w:tr>
    </w:tbl>
    <w:p>
      <w:pPr>
        <w:spacing w:after="60" w:before="60"/>
        <w:ind w:left="0"/>
      </w:pPr>
      <w:r>
        <w:rPr>
          <w:color w:val="4A4A4A"/>
          <w:sz w:val="22"/>
          <w:szCs w:val="22"/>
        </w:rPr>
        <w:t xml:space="preserve">Redis cluster mode: 3 primary shards × 1 replica each (AWS ElastiCache for Redis 7, cluster mode enabled). af-south-1.</w:t>
      </w:r>
    </w:p>
    <w:p>
      <w:pPr>
        <w:pStyle w:val="Heading2"/>
        <w:spacing w:after="120" w:before="320"/>
      </w:pPr>
      <w:r>
        <w:t xml:space="preserve">6.4 Object Storage — AWS S3</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Bucket / Prefix</w:t>
            </w:r>
          </w:p>
        </w:tc>
        <w:tc>
          <w:tcPr>
            <w:tcW w:type="dxa" w:w="4500"/>
            <w:shd w:fill="1A4A7A" w:val="clear"/>
            <w:vAlign w:val="center"/>
          </w:tcPr>
          <w:p>
            <w:pPr>
              <w:spacing w:after="60" w:before="60"/>
              <w:ind w:left="115"/>
            </w:pPr>
            <w:r>
              <w:rPr>
                <w:b/>
                <w:bCs/>
                <w:color w:val="FFFFFF"/>
                <w:sz w:val="20"/>
                <w:szCs w:val="20"/>
              </w:rPr>
              <w:t xml:space="preserve">Purpose and Policy</w:t>
            </w:r>
          </w:p>
        </w:tc>
      </w:tr>
      <w:tr>
        <w:tc>
          <w:tcPr>
            <w:tcW w:type="dxa" w:w="4500"/>
            <w:shd w:fill="FFFFFF" w:val="clear"/>
            <w:vAlign w:val="center"/>
          </w:tcPr>
          <w:p>
            <w:pPr>
              <w:spacing w:after="60" w:before="60"/>
              <w:ind w:left="115"/>
            </w:pPr>
            <w:r>
              <w:rPr>
                <w:b w:val="false"/>
                <w:bCs w:val="false"/>
                <w:color w:val="4A4A4A"/>
                <w:sz w:val="20"/>
                <w:szCs w:val="20"/>
              </w:rPr>
              <w:t xml:space="preserve">exam-documents/</w:t>
            </w:r>
          </w:p>
        </w:tc>
        <w:tc>
          <w:tcPr>
            <w:tcW w:type="dxa" w:w="4500"/>
            <w:shd w:fill="FFFFFF" w:val="clear"/>
            <w:vAlign w:val="center"/>
          </w:tcPr>
          <w:p>
            <w:pPr>
              <w:spacing w:after="60" w:before="60"/>
              <w:ind w:left="115"/>
            </w:pPr>
            <w:r>
              <w:rPr>
                <w:b w:val="false"/>
                <w:bCs w:val="false"/>
                <w:color w:val="4A4A4A"/>
                <w:sz w:val="20"/>
                <w:szCs w:val="20"/>
              </w:rPr>
              <w:t xml:space="preserve">Teacher-uploaded exam PDFs. Encrypted (SSE-KMS). Lifecycle: delete after 3 years.</w:t>
            </w:r>
          </w:p>
        </w:tc>
      </w:tr>
      <w:tr>
        <w:tc>
          <w:tcPr>
            <w:tcW w:type="dxa" w:w="4500"/>
            <w:shd w:fill="F9FAFB" w:val="clear"/>
            <w:vAlign w:val="center"/>
          </w:tcPr>
          <w:p>
            <w:pPr>
              <w:spacing w:after="60" w:before="60"/>
              <w:ind w:left="115"/>
            </w:pPr>
            <w:r>
              <w:rPr>
                <w:b w:val="false"/>
                <w:bCs w:val="false"/>
                <w:color w:val="4A4A4A"/>
                <w:sz w:val="20"/>
                <w:szCs w:val="20"/>
              </w:rPr>
              <w:t xml:space="preserve">student-submissions/</w:t>
            </w:r>
          </w:p>
        </w:tc>
        <w:tc>
          <w:tcPr>
            <w:tcW w:type="dxa" w:w="4500"/>
            <w:shd w:fill="F9FAFB" w:val="clear"/>
            <w:vAlign w:val="center"/>
          </w:tcPr>
          <w:p>
            <w:pPr>
              <w:spacing w:after="60" w:before="60"/>
              <w:ind w:left="115"/>
            </w:pPr>
            <w:r>
              <w:rPr>
                <w:b w:val="false"/>
                <w:bCs w:val="false"/>
                <w:color w:val="4A4A4A"/>
                <w:sz w:val="20"/>
                <w:szCs w:val="20"/>
              </w:rPr>
              <w:t xml:space="preserve">Student answer sheets (scanned images). Encrypted. Lifecycle: archive to Glacier after 1 year.</w:t>
            </w:r>
          </w:p>
        </w:tc>
      </w:tr>
      <w:tr>
        <w:tc>
          <w:tcPr>
            <w:tcW w:type="dxa" w:w="4500"/>
            <w:shd w:fill="FFFFFF" w:val="clear"/>
            <w:vAlign w:val="center"/>
          </w:tcPr>
          <w:p>
            <w:pPr>
              <w:spacing w:after="60" w:before="60"/>
              <w:ind w:left="115"/>
            </w:pPr>
            <w:r>
              <w:rPr>
                <w:b w:val="false"/>
                <w:bCs w:val="false"/>
                <w:color w:val="4A4A4A"/>
                <w:sz w:val="20"/>
                <w:szCs w:val="20"/>
              </w:rPr>
              <w:t xml:space="preserve">school-reports/</w:t>
            </w:r>
          </w:p>
        </w:tc>
        <w:tc>
          <w:tcPr>
            <w:tcW w:type="dxa" w:w="4500"/>
            <w:shd w:fill="FFFFFF" w:val="clear"/>
            <w:vAlign w:val="center"/>
          </w:tcPr>
          <w:p>
            <w:pPr>
              <w:spacing w:after="60" w:before="60"/>
              <w:ind w:left="115"/>
            </w:pPr>
            <w:r>
              <w:rPr>
                <w:b w:val="false"/>
                <w:bCs w:val="false"/>
                <w:color w:val="4A4A4A"/>
                <w:sz w:val="20"/>
                <w:szCs w:val="20"/>
              </w:rPr>
              <w:t xml:space="preserve">Generated quality reports (PDF). Public presigned URLs, 1-hour expiry.</w:t>
            </w:r>
          </w:p>
        </w:tc>
      </w:tr>
      <w:tr>
        <w:tc>
          <w:tcPr>
            <w:tcW w:type="dxa" w:w="4500"/>
            <w:shd w:fill="F9FAFB" w:val="clear"/>
            <w:vAlign w:val="center"/>
          </w:tcPr>
          <w:p>
            <w:pPr>
              <w:spacing w:after="60" w:before="60"/>
              <w:ind w:left="115"/>
            </w:pPr>
            <w:r>
              <w:rPr>
                <w:b w:val="false"/>
                <w:bCs w:val="false"/>
                <w:color w:val="4A4A4A"/>
                <w:sz w:val="20"/>
                <w:szCs w:val="20"/>
              </w:rPr>
              <w:t xml:space="preserve">sync-snapshots/</w:t>
            </w:r>
          </w:p>
        </w:tc>
        <w:tc>
          <w:tcPr>
            <w:tcW w:type="dxa" w:w="4500"/>
            <w:shd w:fill="F9FAFB" w:val="clear"/>
            <w:vAlign w:val="center"/>
          </w:tcPr>
          <w:p>
            <w:pPr>
              <w:spacing w:after="60" w:before="60"/>
              <w:ind w:left="115"/>
            </w:pPr>
            <w:r>
              <w:rPr>
                <w:b w:val="false"/>
                <w:bCs w:val="false"/>
                <w:color w:val="4A4A4A"/>
                <w:sz w:val="20"/>
                <w:szCs w:val="20"/>
              </w:rPr>
              <w:t xml:space="preserve">School Box sync state snapshots. Used for disaster recovery of offline nodes.</w:t>
            </w:r>
          </w:p>
        </w:tc>
      </w:tr>
      <w:tr>
        <w:tc>
          <w:tcPr>
            <w:tcW w:type="dxa" w:w="4500"/>
            <w:shd w:fill="FFFFFF" w:val="clear"/>
            <w:vAlign w:val="center"/>
          </w:tcPr>
          <w:p>
            <w:pPr>
              <w:spacing w:after="60" w:before="60"/>
              <w:ind w:left="115"/>
            </w:pPr>
            <w:r>
              <w:rPr>
                <w:b w:val="false"/>
                <w:bCs w:val="false"/>
                <w:color w:val="4A4A4A"/>
                <w:sz w:val="20"/>
                <w:szCs w:val="20"/>
              </w:rPr>
              <w:t xml:space="preserve">audit-logs/</w:t>
            </w:r>
          </w:p>
        </w:tc>
        <w:tc>
          <w:tcPr>
            <w:tcW w:type="dxa" w:w="4500"/>
            <w:shd w:fill="FFFFFF" w:val="clear"/>
            <w:vAlign w:val="center"/>
          </w:tcPr>
          <w:p>
            <w:pPr>
              <w:spacing w:after="60" w:before="60"/>
              <w:ind w:left="115"/>
            </w:pPr>
            <w:r>
              <w:rPr>
                <w:b w:val="false"/>
                <w:bCs w:val="false"/>
                <w:color w:val="4A4A4A"/>
                <w:sz w:val="20"/>
                <w:szCs w:val="20"/>
              </w:rPr>
              <w:t xml:space="preserve">Kong + API audit logs. Versioned, WORM-compliant (Object Lock), 7-year retention.</w:t>
            </w:r>
          </w:p>
        </w:tc>
      </w:tr>
      <w:tr>
        <w:tc>
          <w:tcPr>
            <w:tcW w:type="dxa" w:w="4500"/>
            <w:shd w:fill="F9FAFB" w:val="clear"/>
            <w:vAlign w:val="center"/>
          </w:tcPr>
          <w:p>
            <w:pPr>
              <w:spacing w:after="60" w:before="60"/>
              <w:ind w:left="115"/>
            </w:pPr>
            <w:r>
              <w:rPr>
                <w:b w:val="false"/>
                <w:bCs w:val="false"/>
                <w:color w:val="4A4A4A"/>
                <w:sz w:val="20"/>
                <w:szCs w:val="20"/>
              </w:rPr>
              <w:t xml:space="preserve">model-artifacts/</w:t>
            </w:r>
          </w:p>
        </w:tc>
        <w:tc>
          <w:tcPr>
            <w:tcW w:type="dxa" w:w="4500"/>
            <w:shd w:fill="F9FAFB" w:val="clear"/>
            <w:vAlign w:val="center"/>
          </w:tcPr>
          <w:p>
            <w:pPr>
              <w:spacing w:after="60" w:before="60"/>
              <w:ind w:left="115"/>
            </w:pPr>
            <w:r>
              <w:rPr>
                <w:b w:val="false"/>
                <w:bCs w:val="false"/>
                <w:color w:val="4A4A4A"/>
                <w:sz w:val="20"/>
                <w:szCs w:val="20"/>
              </w:rPr>
              <w:t xml:space="preserve">Ollama model files for School Box updates. Served over HTTPS to School Boxes.</w:t>
            </w:r>
          </w:p>
        </w:tc>
      </w:tr>
    </w:tbl>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07 — Offline Architecture (School Box)</w:t>
            </w:r>
          </w:p>
          <w:p>
            <w:pPr>
              <w:spacing w:after="80" w:before="40"/>
            </w:pPr>
            <w:r>
              <w:rPr>
                <w:i/>
                <w:iCs/>
                <w:color w:val="B3D4FF"/>
                <w:sz w:val="20"/>
                <w:szCs w:val="20"/>
              </w:rPr>
              <w:t xml:space="preserve">Local node design, CRDT sync, and conflict resolution</w:t>
            </w:r>
          </w:p>
        </w:tc>
      </w:tr>
    </w:tbl>
    <w:p>
      <w:pPr>
        <w:spacing w:after="60" w:before="60"/>
      </w:pPr>
    </w:p>
    <w:p>
      <w:pPr>
        <w:pStyle w:val="Heading2"/>
        <w:spacing w:after="120" w:before="320"/>
      </w:pPr>
      <w:r>
        <w:t xml:space="preserve">7.1 The Problem</w:t>
      </w:r>
    </w:p>
    <w:p>
      <w:pPr>
        <w:spacing w:after="60" w:before="60"/>
        <w:ind w:left="0"/>
      </w:pPr>
      <w:r>
        <w:rPr>
          <w:color w:val="4A4A4A"/>
          <w:sz w:val="22"/>
          <w:szCs w:val="22"/>
        </w:rPr>
        <w:t xml:space="preserve">Over 60% of Ethiopian public schools have no reliable internet connection. A purely online system excludes the schools that need EduGraph AI the most. The School Box solves this by making the entire platform — including AI inference — run on local hardware with zero internet dependency.</w:t>
      </w:r>
    </w:p>
    <w:p>
      <w:pPr>
        <w:pStyle w:val="Heading2"/>
        <w:spacing w:after="120" w:before="320"/>
      </w:pPr>
      <w:r>
        <w:t xml:space="preserve">7.2 School Box Hardware Spec</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Component</w:t>
            </w:r>
          </w:p>
        </w:tc>
        <w:tc>
          <w:tcPr>
            <w:tcW w:type="dxa" w:w="4500"/>
            <w:shd w:fill="1A4A7A" w:val="clear"/>
            <w:vAlign w:val="center"/>
          </w:tcPr>
          <w:p>
            <w:pPr>
              <w:spacing w:after="60" w:before="60"/>
              <w:ind w:left="115"/>
            </w:pPr>
            <w:r>
              <w:rPr>
                <w:b/>
                <w:bCs/>
                <w:color w:val="FFFFFF"/>
                <w:sz w:val="20"/>
                <w:szCs w:val="20"/>
              </w:rPr>
              <w:t xml:space="preserve">Specification</w:t>
            </w:r>
          </w:p>
        </w:tc>
      </w:tr>
      <w:tr>
        <w:tc>
          <w:tcPr>
            <w:tcW w:type="dxa" w:w="4500"/>
            <w:shd w:fill="FFFFFF" w:val="clear"/>
            <w:vAlign w:val="center"/>
          </w:tcPr>
          <w:p>
            <w:pPr>
              <w:spacing w:after="60" w:before="60"/>
              <w:ind w:left="115"/>
            </w:pPr>
            <w:r>
              <w:rPr>
                <w:b w:val="false"/>
                <w:bCs w:val="false"/>
                <w:color w:val="4A4A4A"/>
                <w:sz w:val="20"/>
                <w:szCs w:val="20"/>
              </w:rPr>
              <w:t xml:space="preserve">CPU</w:t>
            </w:r>
          </w:p>
        </w:tc>
        <w:tc>
          <w:tcPr>
            <w:tcW w:type="dxa" w:w="4500"/>
            <w:shd w:fill="FFFFFF" w:val="clear"/>
            <w:vAlign w:val="center"/>
          </w:tcPr>
          <w:p>
            <w:pPr>
              <w:spacing w:after="60" w:before="60"/>
              <w:ind w:left="115"/>
            </w:pPr>
            <w:r>
              <w:rPr>
                <w:b w:val="false"/>
                <w:bCs w:val="false"/>
                <w:color w:val="4A4A4A"/>
                <w:sz w:val="20"/>
                <w:szCs w:val="20"/>
              </w:rPr>
              <w:t xml:space="preserve">AMD Ryzen 7 8-core (or equivalent) — adequate for 4-bit quantized LLM inference</w:t>
            </w:r>
          </w:p>
        </w:tc>
      </w:tr>
      <w:tr>
        <w:tc>
          <w:tcPr>
            <w:tcW w:type="dxa" w:w="4500"/>
            <w:shd w:fill="F9FAFB" w:val="clear"/>
            <w:vAlign w:val="center"/>
          </w:tcPr>
          <w:p>
            <w:pPr>
              <w:spacing w:after="60" w:before="60"/>
              <w:ind w:left="115"/>
            </w:pPr>
            <w:r>
              <w:rPr>
                <w:b w:val="false"/>
                <w:bCs w:val="false"/>
                <w:color w:val="4A4A4A"/>
                <w:sz w:val="20"/>
                <w:szCs w:val="20"/>
              </w:rPr>
              <w:t xml:space="preserve">RAM</w:t>
            </w:r>
          </w:p>
        </w:tc>
        <w:tc>
          <w:tcPr>
            <w:tcW w:type="dxa" w:w="4500"/>
            <w:shd w:fill="F9FAFB" w:val="clear"/>
            <w:vAlign w:val="center"/>
          </w:tcPr>
          <w:p>
            <w:pPr>
              <w:spacing w:after="60" w:before="60"/>
              <w:ind w:left="115"/>
            </w:pPr>
            <w:r>
              <w:rPr>
                <w:b w:val="false"/>
                <w:bCs w:val="false"/>
                <w:color w:val="4A4A4A"/>
                <w:sz w:val="20"/>
                <w:szCs w:val="20"/>
              </w:rPr>
              <w:t xml:space="preserve">32GB DDR5 — 16GB reserved for OS/services, 16GB for Ollama model context</w:t>
            </w:r>
          </w:p>
        </w:tc>
      </w:tr>
      <w:tr>
        <w:tc>
          <w:tcPr>
            <w:tcW w:type="dxa" w:w="4500"/>
            <w:shd w:fill="FFFFFF" w:val="clear"/>
            <w:vAlign w:val="center"/>
          </w:tcPr>
          <w:p>
            <w:pPr>
              <w:spacing w:after="60" w:before="60"/>
              <w:ind w:left="115"/>
            </w:pPr>
            <w:r>
              <w:rPr>
                <w:b w:val="false"/>
                <w:bCs w:val="false"/>
                <w:color w:val="4A4A4A"/>
                <w:sz w:val="20"/>
                <w:szCs w:val="20"/>
              </w:rPr>
              <w:t xml:space="preserve">Storage</w:t>
            </w:r>
          </w:p>
        </w:tc>
        <w:tc>
          <w:tcPr>
            <w:tcW w:type="dxa" w:w="4500"/>
            <w:shd w:fill="FFFFFF" w:val="clear"/>
            <w:vAlign w:val="center"/>
          </w:tcPr>
          <w:p>
            <w:pPr>
              <w:spacing w:after="60" w:before="60"/>
              <w:ind w:left="115"/>
            </w:pPr>
            <w:r>
              <w:rPr>
                <w:b w:val="false"/>
                <w:bCs w:val="false"/>
                <w:color w:val="4A4A4A"/>
                <w:sz w:val="20"/>
                <w:szCs w:val="20"/>
              </w:rPr>
              <w:t xml:space="preserve">2TB NVMe SSD — OS, Docker, models (5–15GB per model), student data</w:t>
            </w:r>
          </w:p>
        </w:tc>
      </w:tr>
      <w:tr>
        <w:tc>
          <w:tcPr>
            <w:tcW w:type="dxa" w:w="4500"/>
            <w:shd w:fill="F9FAFB" w:val="clear"/>
            <w:vAlign w:val="center"/>
          </w:tcPr>
          <w:p>
            <w:pPr>
              <w:spacing w:after="60" w:before="60"/>
              <w:ind w:left="115"/>
            </w:pPr>
            <w:r>
              <w:rPr>
                <w:b w:val="false"/>
                <w:bCs w:val="false"/>
                <w:color w:val="4A4A4A"/>
                <w:sz w:val="20"/>
                <w:szCs w:val="20"/>
              </w:rPr>
              <w:t xml:space="preserve">Network</w:t>
            </w:r>
          </w:p>
        </w:tc>
        <w:tc>
          <w:tcPr>
            <w:tcW w:type="dxa" w:w="4500"/>
            <w:shd w:fill="F9FAFB" w:val="clear"/>
            <w:vAlign w:val="center"/>
          </w:tcPr>
          <w:p>
            <w:pPr>
              <w:spacing w:after="60" w:before="60"/>
              <w:ind w:left="115"/>
            </w:pPr>
            <w:r>
              <w:rPr>
                <w:b w:val="false"/>
                <w:bCs w:val="false"/>
                <w:color w:val="4A4A4A"/>
                <w:sz w:val="20"/>
                <w:szCs w:val="20"/>
              </w:rPr>
              <w:t xml:space="preserve">Gigabit Ethernet for LAN serving school devices. Optional WiFi 6 AP.</w:t>
            </w:r>
          </w:p>
        </w:tc>
      </w:tr>
      <w:tr>
        <w:tc>
          <w:tcPr>
            <w:tcW w:type="dxa" w:w="4500"/>
            <w:shd w:fill="FFFFFF" w:val="clear"/>
            <w:vAlign w:val="center"/>
          </w:tcPr>
          <w:p>
            <w:pPr>
              <w:spacing w:after="60" w:before="60"/>
              <w:ind w:left="115"/>
            </w:pPr>
            <w:r>
              <w:rPr>
                <w:b w:val="false"/>
                <w:bCs w:val="false"/>
                <w:color w:val="4A4A4A"/>
                <w:sz w:val="20"/>
                <w:szCs w:val="20"/>
              </w:rPr>
              <w:t xml:space="preserve">Power</w:t>
            </w:r>
          </w:p>
        </w:tc>
        <w:tc>
          <w:tcPr>
            <w:tcW w:type="dxa" w:w="4500"/>
            <w:shd w:fill="FFFFFF" w:val="clear"/>
            <w:vAlign w:val="center"/>
          </w:tcPr>
          <w:p>
            <w:pPr>
              <w:spacing w:after="60" w:before="60"/>
              <w:ind w:left="115"/>
            </w:pPr>
            <w:r>
              <w:rPr>
                <w:b w:val="false"/>
                <w:bCs w:val="false"/>
                <w:color w:val="4A4A4A"/>
                <w:sz w:val="20"/>
                <w:szCs w:val="20"/>
              </w:rPr>
              <w:t xml:space="preserve">UPS with 4-hour battery backup — handles Ethiopia's frequent power interruptions</w:t>
            </w:r>
          </w:p>
        </w:tc>
      </w:tr>
      <w:tr>
        <w:tc>
          <w:tcPr>
            <w:tcW w:type="dxa" w:w="4500"/>
            <w:shd w:fill="F9FAFB" w:val="clear"/>
            <w:vAlign w:val="center"/>
          </w:tcPr>
          <w:p>
            <w:pPr>
              <w:spacing w:after="60" w:before="60"/>
              <w:ind w:left="115"/>
            </w:pPr>
            <w:r>
              <w:rPr>
                <w:b w:val="false"/>
                <w:bCs w:val="false"/>
                <w:color w:val="4A4A4A"/>
                <w:sz w:val="20"/>
                <w:szCs w:val="20"/>
              </w:rPr>
              <w:t xml:space="preserve">OS</w:t>
            </w:r>
          </w:p>
        </w:tc>
        <w:tc>
          <w:tcPr>
            <w:tcW w:type="dxa" w:w="4500"/>
            <w:shd w:fill="F9FAFB" w:val="clear"/>
            <w:vAlign w:val="center"/>
          </w:tcPr>
          <w:p>
            <w:pPr>
              <w:spacing w:after="60" w:before="60"/>
              <w:ind w:left="115"/>
            </w:pPr>
            <w:r>
              <w:rPr>
                <w:b w:val="false"/>
                <w:bCs w:val="false"/>
                <w:color w:val="4A4A4A"/>
                <w:sz w:val="20"/>
                <w:szCs w:val="20"/>
              </w:rPr>
              <w:t xml:space="preserve">Ubuntu Server 24.04 LTS minimal install</w:t>
            </w:r>
          </w:p>
        </w:tc>
      </w:tr>
      <w:tr>
        <w:tc>
          <w:tcPr>
            <w:tcW w:type="dxa" w:w="4500"/>
            <w:shd w:fill="FFFFFF" w:val="clear"/>
            <w:vAlign w:val="center"/>
          </w:tcPr>
          <w:p>
            <w:pPr>
              <w:spacing w:after="60" w:before="60"/>
              <w:ind w:left="115"/>
            </w:pPr>
            <w:r>
              <w:rPr>
                <w:b w:val="false"/>
                <w:bCs w:val="false"/>
                <w:color w:val="4A4A4A"/>
                <w:sz w:val="20"/>
                <w:szCs w:val="20"/>
              </w:rPr>
              <w:t xml:space="preserve">GPU (optional)</w:t>
            </w:r>
          </w:p>
        </w:tc>
        <w:tc>
          <w:tcPr>
            <w:tcW w:type="dxa" w:w="4500"/>
            <w:shd w:fill="FFFFFF" w:val="clear"/>
            <w:vAlign w:val="center"/>
          </w:tcPr>
          <w:p>
            <w:pPr>
              <w:spacing w:after="60" w:before="60"/>
              <w:ind w:left="115"/>
            </w:pPr>
            <w:r>
              <w:rPr>
                <w:b w:val="false"/>
                <w:bCs w:val="false"/>
                <w:color w:val="4A4A4A"/>
                <w:sz w:val="20"/>
                <w:szCs w:val="20"/>
              </w:rPr>
              <w:t xml:space="preserve">NVIDIA RTX 3060 12GB — reduces LLM inference latency from ~8s to ~1.5s</w:t>
            </w:r>
          </w:p>
        </w:tc>
      </w:tr>
    </w:tbl>
    <w:p>
      <w:pPr>
        <w:pStyle w:val="Heading2"/>
        <w:spacing w:after="120" w:before="320"/>
      </w:pPr>
      <w:r>
        <w:t xml:space="preserve">7.3 School Box Software Stack</w:t>
      </w:r>
    </w:p>
    <w:p>
      <w:pPr>
        <w:spacing w:after="60" w:before="60"/>
        <w:ind w:left="0"/>
      </w:pPr>
      <w:r>
        <w:rPr>
          <w:color w:val="4A4A4A"/>
          <w:sz w:val="22"/>
          <w:szCs w:val="22"/>
        </w:rPr>
        <w:t xml:space="preserve">The School Box runs the same software stack as the cloud, containerized in Docker Compose:</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docker-compose.yml (School Box)</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edugraph-api        ← Go API binary (same image as cloud)</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postgres            ← PostgreSQL 16 (local copy of school data only)</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neo4j               ← Neo4j Community (subset of curriculum graph)</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redis               ← Redis 7 (local cache and queue)</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ollama              ← Local LLM inference</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electric-sync       ← ElectricSQL sync agent</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caddy               ← Local HTTPS reverse proxy (self-signed cert)</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watchtower          ← Auto-pulls updated images when internet available</w:t>
      </w:r>
    </w:p>
    <w:p>
      <w:pPr>
        <w:pStyle w:val="Heading2"/>
        <w:spacing w:after="120" w:before="320"/>
      </w:pPr>
      <w:r>
        <w:t xml:space="preserve">7.4 Data Scope on School Box</w:t>
      </w:r>
    </w:p>
    <w:p>
      <w:pPr>
        <w:spacing w:after="60" w:before="60"/>
        <w:ind w:left="0"/>
      </w:pPr>
      <w:r>
        <w:rPr>
          <w:color w:val="4A4A4A"/>
          <w:sz w:val="22"/>
          <w:szCs w:val="22"/>
        </w:rPr>
        <w:t xml:space="preserve">The School Box does not hold a full copy of the national database — only the data relevant to its school:</w:t>
      </w:r>
    </w:p>
    <w:p>
      <w:pPr>
        <w:pStyle w:val="ListParagraph"/>
        <w:numPr>
          <w:ilvl w:val="0"/>
          <w:numId w:val="2"/>
        </w:numPr>
        <w:spacing w:after="40" w:before="40"/>
      </w:pPr>
      <w:r>
        <w:rPr>
          <w:color w:val="4A4A4A"/>
          <w:sz w:val="21"/>
          <w:szCs w:val="21"/>
        </w:rPr>
        <w:t xml:space="preserve">Full curriculum graph: all subjects, topics, CLOs, questions for the school's grade levels.</w:t>
      </w:r>
    </w:p>
    <w:p>
      <w:pPr>
        <w:pStyle w:val="ListParagraph"/>
        <w:numPr>
          <w:ilvl w:val="0"/>
          <w:numId w:val="2"/>
        </w:numPr>
        <w:spacing w:after="40" w:before="40"/>
      </w:pPr>
      <w:r>
        <w:rPr>
          <w:color w:val="4A4A4A"/>
          <w:sz w:val="21"/>
          <w:szCs w:val="21"/>
        </w:rPr>
        <w:t xml:space="preserve">Student data: only students enrolled in that school. No cross-school data.</w:t>
      </w:r>
    </w:p>
    <w:p>
      <w:pPr>
        <w:pStyle w:val="ListParagraph"/>
        <w:numPr>
          <w:ilvl w:val="0"/>
          <w:numId w:val="2"/>
        </w:numPr>
        <w:spacing w:after="40" w:before="40"/>
      </w:pPr>
      <w:r>
        <w:rPr>
          <w:color w:val="4A4A4A"/>
          <w:sz w:val="21"/>
          <w:szCs w:val="21"/>
        </w:rPr>
        <w:t xml:space="preserve">AI models: the currently deployed LLM (Qwen2.5-7B Q4), embedding model, and CLO embeddings.</w:t>
      </w:r>
    </w:p>
    <w:p>
      <w:pPr>
        <w:pStyle w:val="ListParagraph"/>
        <w:numPr>
          <w:ilvl w:val="0"/>
          <w:numId w:val="2"/>
        </w:numPr>
        <w:spacing w:after="40" w:before="40"/>
      </w:pPr>
      <w:r>
        <w:rPr>
          <w:color w:val="4A4A4A"/>
          <w:sz w:val="21"/>
          <w:szCs w:val="21"/>
        </w:rPr>
        <w:t xml:space="preserve">School-level aggregates: quality scores, compliance reports, teacher assessments for this school only.</w:t>
      </w:r>
    </w:p>
    <w:p>
      <w:pPr>
        <w:pStyle w:val="Heading2"/>
        <w:spacing w:after="120" w:before="320"/>
      </w:pPr>
      <w:r>
        <w:t xml:space="preserve">7.5 ElectricSQL Sync — How It Works</w:t>
      </w:r>
    </w:p>
    <w:p>
      <w:pPr>
        <w:spacing w:after="60" w:before="60"/>
        <w:ind w:left="0"/>
      </w:pPr>
      <w:r>
        <w:rPr>
          <w:color w:val="4A4A4A"/>
          <w:sz w:val="22"/>
          <w:szCs w:val="22"/>
        </w:rPr>
        <w:t xml:space="preserve">ElectricSQL is a Postgres sync engine built on CRDTs (Conflict-free Replicated Data Types). It provides bidirectional sync between the School Box PostgreSQL and the cloud PostgreSQL:</w:t>
      </w:r>
    </w:p>
    <w:p>
      <w:pPr>
        <w:pStyle w:val="ListParagraph"/>
        <w:numPr>
          <w:ilvl w:val="0"/>
          <w:numId w:val="2"/>
        </w:numPr>
        <w:spacing w:after="40" w:before="40"/>
      </w:pPr>
      <w:r>
        <w:rPr>
          <w:color w:val="4A4A4A"/>
          <w:sz w:val="21"/>
          <w:szCs w:val="21"/>
        </w:rPr>
        <w:t xml:space="preserve">The School Box operates fully offline, writing student answers, teacher exams, and school events to local PostgreSQL.</w:t>
      </w:r>
    </w:p>
    <w:p>
      <w:pPr>
        <w:pStyle w:val="ListParagraph"/>
        <w:numPr>
          <w:ilvl w:val="0"/>
          <w:numId w:val="2"/>
        </w:numPr>
        <w:spacing w:after="40" w:before="40"/>
      </w:pPr>
      <w:r>
        <w:rPr>
          <w:color w:val="4A4A4A"/>
          <w:sz w:val="21"/>
          <w:szCs w:val="21"/>
        </w:rPr>
        <w:t xml:space="preserve">When internet connectivity is detected (periodic ping to the cloud), the ElectricSQL sync agent initiates a sync session.</w:t>
      </w:r>
    </w:p>
    <w:p>
      <w:pPr>
        <w:pStyle w:val="ListParagraph"/>
        <w:numPr>
          <w:ilvl w:val="0"/>
          <w:numId w:val="2"/>
        </w:numPr>
        <w:spacing w:after="40" w:before="40"/>
      </w:pPr>
      <w:r>
        <w:rPr>
          <w:color w:val="4A4A4A"/>
          <w:sz w:val="21"/>
          <w:szCs w:val="21"/>
        </w:rPr>
        <w:t xml:space="preserve">ElectricSQL uses the Satellite protocol: each client maintains a logical clock (Lamport timestamp). On reconnect, the cloud and School Box exchange their operation logs since the last successful sync.</w:t>
      </w:r>
    </w:p>
    <w:p>
      <w:pPr>
        <w:pStyle w:val="ListParagraph"/>
        <w:numPr>
          <w:ilvl w:val="0"/>
          <w:numId w:val="2"/>
        </w:numPr>
        <w:spacing w:after="40" w:before="40"/>
      </w:pPr>
      <w:r>
        <w:rPr>
          <w:color w:val="4A4A4A"/>
          <w:sz w:val="21"/>
          <w:szCs w:val="21"/>
        </w:rPr>
        <w:t xml:space="preserve">CRDT merge rules handle conflicts: last-write-wins on scalar fields (grade score updated by teacher), set-union on append-only fields (student answers, audit log entries). Conflicts are logged to the sync_conflict table for human review.</w:t>
      </w:r>
    </w:p>
    <w:p>
      <w:pPr>
        <w:pStyle w:val="ListParagraph"/>
        <w:numPr>
          <w:ilvl w:val="0"/>
          <w:numId w:val="2"/>
        </w:numPr>
        <w:spacing w:after="40" w:before="40"/>
      </w:pPr>
      <w:r>
        <w:rPr>
          <w:color w:val="4A4A4A"/>
          <w:sz w:val="21"/>
          <w:szCs w:val="21"/>
        </w:rPr>
        <w:t xml:space="preserve">After sync, Neo4j graph data is updated via a Go sync worker that translates PostgreSQL change events (via logical replication slot) into Neo4j Cypher write operations.</w:t>
      </w:r>
    </w:p>
    <w:p>
      <w:pPr>
        <w:pStyle w:val="Heading2"/>
        <w:spacing w:after="120" w:before="320"/>
      </w:pPr>
      <w:r>
        <w:t xml:space="preserve">7.6 Conflict Resolution Rules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Operation</w:t>
            </w:r>
          </w:p>
        </w:tc>
        <w:tc>
          <w:tcPr>
            <w:tcW w:type="dxa" w:w="4500"/>
            <w:shd w:fill="1A4A7A" w:val="clear"/>
            <w:vAlign w:val="center"/>
          </w:tcPr>
          <w:p>
            <w:pPr>
              <w:spacing w:after="60" w:before="60"/>
              <w:ind w:left="115"/>
            </w:pPr>
            <w:r>
              <w:rPr>
                <w:b/>
                <w:bCs/>
                <w:color w:val="FFFFFF"/>
                <w:sz w:val="20"/>
                <w:szCs w:val="20"/>
              </w:rPr>
              <w:t xml:space="preserve">Resolution Rule</w:t>
            </w:r>
          </w:p>
        </w:tc>
      </w:tr>
      <w:tr>
        <w:tc>
          <w:tcPr>
            <w:tcW w:type="dxa" w:w="4500"/>
            <w:shd w:fill="FFFFFF" w:val="clear"/>
            <w:vAlign w:val="center"/>
          </w:tcPr>
          <w:p>
            <w:pPr>
              <w:spacing w:after="60" w:before="60"/>
              <w:ind w:left="115"/>
            </w:pPr>
            <w:r>
              <w:rPr>
                <w:b w:val="false"/>
                <w:bCs w:val="false"/>
                <w:color w:val="4A4A4A"/>
                <w:sz w:val="20"/>
                <w:szCs w:val="20"/>
              </w:rPr>
              <w:t xml:space="preserve">Student answer submitted</w:t>
            </w:r>
          </w:p>
        </w:tc>
        <w:tc>
          <w:tcPr>
            <w:tcW w:type="dxa" w:w="4500"/>
            <w:shd w:fill="FFFFFF" w:val="clear"/>
            <w:vAlign w:val="center"/>
          </w:tcPr>
          <w:p>
            <w:pPr>
              <w:spacing w:after="60" w:before="60"/>
              <w:ind w:left="115"/>
            </w:pPr>
            <w:r>
              <w:rPr>
                <w:b w:val="false"/>
                <w:bCs w:val="false"/>
                <w:color w:val="4A4A4A"/>
                <w:sz w:val="20"/>
                <w:szCs w:val="20"/>
              </w:rPr>
              <w:t xml:space="preserve">Append-only. No conflict possible — answers are immutable once submitted.</w:t>
            </w:r>
          </w:p>
        </w:tc>
      </w:tr>
      <w:tr>
        <w:tc>
          <w:tcPr>
            <w:tcW w:type="dxa" w:w="4500"/>
            <w:shd w:fill="F9FAFB" w:val="clear"/>
            <w:vAlign w:val="center"/>
          </w:tcPr>
          <w:p>
            <w:pPr>
              <w:spacing w:after="60" w:before="60"/>
              <w:ind w:left="115"/>
            </w:pPr>
            <w:r>
              <w:rPr>
                <w:b w:val="false"/>
                <w:bCs w:val="false"/>
                <w:color w:val="4A4A4A"/>
                <w:sz w:val="20"/>
                <w:szCs w:val="20"/>
              </w:rPr>
              <w:t xml:space="preserve">Teacher grades student answer</w:t>
            </w:r>
          </w:p>
        </w:tc>
        <w:tc>
          <w:tcPr>
            <w:tcW w:type="dxa" w:w="4500"/>
            <w:shd w:fill="F9FAFB" w:val="clear"/>
            <w:vAlign w:val="center"/>
          </w:tcPr>
          <w:p>
            <w:pPr>
              <w:spacing w:after="60" w:before="60"/>
              <w:ind w:left="115"/>
            </w:pPr>
            <w:r>
              <w:rPr>
                <w:b w:val="false"/>
                <w:bCs w:val="false"/>
                <w:color w:val="4A4A4A"/>
                <w:sz w:val="20"/>
                <w:szCs w:val="20"/>
              </w:rPr>
              <w:t xml:space="preserve">Last-write-wins with timestamps. Cloud wins if both modified after last sync.</w:t>
            </w:r>
          </w:p>
        </w:tc>
      </w:tr>
      <w:tr>
        <w:tc>
          <w:tcPr>
            <w:tcW w:type="dxa" w:w="4500"/>
            <w:shd w:fill="FFFFFF" w:val="clear"/>
            <w:vAlign w:val="center"/>
          </w:tcPr>
          <w:p>
            <w:pPr>
              <w:spacing w:after="60" w:before="60"/>
              <w:ind w:left="115"/>
            </w:pPr>
            <w:r>
              <w:rPr>
                <w:b w:val="false"/>
                <w:bCs w:val="false"/>
                <w:color w:val="4A4A4A"/>
                <w:sz w:val="20"/>
                <w:szCs w:val="20"/>
              </w:rPr>
              <w:t xml:space="preserve">School quality score recalculated</w:t>
            </w:r>
          </w:p>
        </w:tc>
        <w:tc>
          <w:tcPr>
            <w:tcW w:type="dxa" w:w="4500"/>
            <w:shd w:fill="FFFFFF" w:val="clear"/>
            <w:vAlign w:val="center"/>
          </w:tcPr>
          <w:p>
            <w:pPr>
              <w:spacing w:after="60" w:before="60"/>
              <w:ind w:left="115"/>
            </w:pPr>
            <w:r>
              <w:rPr>
                <w:b w:val="false"/>
                <w:bCs w:val="false"/>
                <w:color w:val="4A4A4A"/>
                <w:sz w:val="20"/>
                <w:szCs w:val="20"/>
              </w:rPr>
              <w:t xml:space="preserve">Recomputed from source data after sync — not merged. Source data wins.</w:t>
            </w:r>
          </w:p>
        </w:tc>
      </w:tr>
      <w:tr>
        <w:tc>
          <w:tcPr>
            <w:tcW w:type="dxa" w:w="4500"/>
            <w:shd w:fill="F9FAFB" w:val="clear"/>
            <w:vAlign w:val="center"/>
          </w:tcPr>
          <w:p>
            <w:pPr>
              <w:spacing w:after="60" w:before="60"/>
              <w:ind w:left="115"/>
            </w:pPr>
            <w:r>
              <w:rPr>
                <w:b w:val="false"/>
                <w:bCs w:val="false"/>
                <w:color w:val="4A4A4A"/>
                <w:sz w:val="20"/>
                <w:szCs w:val="20"/>
              </w:rPr>
              <w:t xml:space="preserve">CLO updated by Ministry</w:t>
            </w:r>
          </w:p>
        </w:tc>
        <w:tc>
          <w:tcPr>
            <w:tcW w:type="dxa" w:w="4500"/>
            <w:shd w:fill="F9FAFB" w:val="clear"/>
            <w:vAlign w:val="center"/>
          </w:tcPr>
          <w:p>
            <w:pPr>
              <w:spacing w:after="60" w:before="60"/>
              <w:ind w:left="115"/>
            </w:pPr>
            <w:r>
              <w:rPr>
                <w:b w:val="false"/>
                <w:bCs w:val="false"/>
                <w:color w:val="4A4A4A"/>
                <w:sz w:val="20"/>
                <w:szCs w:val="20"/>
              </w:rPr>
              <w:t xml:space="preserve">Ministry (cloud) always wins. School Box CLOs are read-only replicas.</w:t>
            </w:r>
          </w:p>
        </w:tc>
      </w:tr>
      <w:tr>
        <w:tc>
          <w:tcPr>
            <w:tcW w:type="dxa" w:w="4500"/>
            <w:shd w:fill="FFFFFF" w:val="clear"/>
            <w:vAlign w:val="center"/>
          </w:tcPr>
          <w:p>
            <w:pPr>
              <w:spacing w:after="60" w:before="60"/>
              <w:ind w:left="115"/>
            </w:pPr>
            <w:r>
              <w:rPr>
                <w:b w:val="false"/>
                <w:bCs w:val="false"/>
                <w:color w:val="4A4A4A"/>
                <w:sz w:val="20"/>
                <w:szCs w:val="20"/>
              </w:rPr>
              <w:t xml:space="preserve">Student profile updated</w:t>
            </w:r>
          </w:p>
        </w:tc>
        <w:tc>
          <w:tcPr>
            <w:tcW w:type="dxa" w:w="4500"/>
            <w:shd w:fill="FFFFFF" w:val="clear"/>
            <w:vAlign w:val="center"/>
          </w:tcPr>
          <w:p>
            <w:pPr>
              <w:spacing w:after="60" w:before="60"/>
              <w:ind w:left="115"/>
            </w:pPr>
            <w:r>
              <w:rPr>
                <w:b w:val="false"/>
                <w:bCs w:val="false"/>
                <w:color w:val="4A4A4A"/>
                <w:sz w:val="20"/>
                <w:szCs w:val="20"/>
              </w:rPr>
              <w:t xml:space="preserve">School wins for school-scoped fields (enrollment). Ministry wins for national fields.</w:t>
            </w:r>
          </w:p>
        </w:tc>
      </w:tr>
      <w:tr>
        <w:tc>
          <w:tcPr>
            <w:tcW w:type="dxa" w:w="4500"/>
            <w:shd w:fill="F9FAFB" w:val="clear"/>
            <w:vAlign w:val="center"/>
          </w:tcPr>
          <w:p>
            <w:pPr>
              <w:spacing w:after="60" w:before="60"/>
              <w:ind w:left="115"/>
            </w:pPr>
            <w:r>
              <w:rPr>
                <w:b w:val="false"/>
                <w:bCs w:val="false"/>
                <w:color w:val="4A4A4A"/>
                <w:sz w:val="20"/>
                <w:szCs w:val="20"/>
              </w:rPr>
              <w:t xml:space="preserve">Exam uploaded by teacher</w:t>
            </w:r>
          </w:p>
        </w:tc>
        <w:tc>
          <w:tcPr>
            <w:tcW w:type="dxa" w:w="4500"/>
            <w:shd w:fill="F9FAFB" w:val="clear"/>
            <w:vAlign w:val="center"/>
          </w:tcPr>
          <w:p>
            <w:pPr>
              <w:spacing w:after="60" w:before="60"/>
              <w:ind w:left="115"/>
            </w:pPr>
            <w:r>
              <w:rPr>
                <w:b w:val="false"/>
                <w:bCs w:val="false"/>
                <w:color w:val="4A4A4A"/>
                <w:sz w:val="20"/>
                <w:szCs w:val="20"/>
              </w:rPr>
              <w:t xml:space="preserve">School Box origin wins. Cloud receives the exam as-created. No conflict.</w:t>
            </w:r>
          </w:p>
        </w:tc>
      </w:tr>
    </w:tbl>
    <w:p>
      <w:pPr>
        <w:pStyle w:val="Heading2"/>
        <w:spacing w:after="120" w:before="320"/>
      </w:pPr>
      <w:r>
        <w:t xml:space="preserve">7.7 School Box Update Mechanism</w:t>
      </w:r>
    </w:p>
    <w:p>
      <w:pPr>
        <w:spacing w:after="60" w:before="60"/>
        <w:ind w:left="0"/>
      </w:pPr>
      <w:r>
        <w:rPr>
          <w:color w:val="4A4A4A"/>
          <w:sz w:val="22"/>
          <w:szCs w:val="22"/>
        </w:rPr>
        <w:t xml:space="preserve">The Watchtower container runs on the School Box and polls Docker Hub (private registry) for updated images. When internet is available: new Go API image, updated Ollama model files, and Neo4j schema migrations are pulled and applied automatically during a low-usage window (02:00–04:00 local time). A canary rollout is used: the School Box stays on N-1 version until the cloud has verified the new version for 48 hours.</w:t>
      </w:r>
    </w:p>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08 — Infrastructure &amp; Orchestration</w:t>
            </w:r>
          </w:p>
          <w:p>
            <w:pPr>
              <w:spacing w:after="80" w:before="40"/>
            </w:pPr>
            <w:r>
              <w:rPr>
                <w:i/>
                <w:iCs/>
                <w:color w:val="B3D4FF"/>
                <w:sz w:val="20"/>
                <w:szCs w:val="20"/>
              </w:rPr>
              <w:t xml:space="preserve">Kubernetes, Terraform, CI/CD, and cloud configuration</w:t>
            </w:r>
          </w:p>
        </w:tc>
      </w:tr>
    </w:tbl>
    <w:p>
      <w:pPr>
        <w:spacing w:after="60" w:before="60"/>
      </w:pPr>
    </w:p>
    <w:p>
      <w:pPr>
        <w:pStyle w:val="Heading2"/>
        <w:spacing w:after="120" w:before="320"/>
      </w:pPr>
      <w:r>
        <w:t xml:space="preserve">8.1 Kubernetes Cluster Design</w:t>
      </w:r>
    </w:p>
    <w:p>
      <w:pPr>
        <w:spacing w:after="60" w:before="60"/>
        <w:ind w:left="0"/>
      </w:pPr>
      <w:r>
        <w:rPr>
          <w:color w:val="4A4A4A"/>
          <w:sz w:val="22"/>
          <w:szCs w:val="22"/>
        </w:rPr>
        <w:t xml:space="preserve">The entire cloud system runs on Kubernetes 1.29, hosted on AWS EKS in the af-south-1 (Cape Town) region. An additional read-only DR cluster exists in eu-west-1 (Ireland) for disaster recovery.</w:t>
      </w:r>
    </w:p>
    <w:p>
      <w:pPr>
        <w:pStyle w:val="Heading3"/>
        <w:spacing w:after="80" w:before="240"/>
      </w:pPr>
      <w:r>
        <w:t xml:space="preserve">8.1.1 Node Groups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Node Group</w:t>
            </w:r>
          </w:p>
        </w:tc>
        <w:tc>
          <w:tcPr>
            <w:tcW w:type="dxa" w:w="4500"/>
            <w:shd w:fill="1A4A7A" w:val="clear"/>
            <w:vAlign w:val="center"/>
          </w:tcPr>
          <w:p>
            <w:pPr>
              <w:spacing w:after="60" w:before="60"/>
              <w:ind w:left="115"/>
            </w:pPr>
            <w:r>
              <w:rPr>
                <w:b/>
                <w:bCs/>
                <w:color w:val="FFFFFF"/>
                <w:sz w:val="20"/>
                <w:szCs w:val="20"/>
              </w:rPr>
              <w:t xml:space="preserve">Instance Type and Role</w:t>
            </w:r>
          </w:p>
        </w:tc>
      </w:tr>
      <w:tr>
        <w:tc>
          <w:tcPr>
            <w:tcW w:type="dxa" w:w="4500"/>
            <w:shd w:fill="FFFFFF" w:val="clear"/>
            <w:vAlign w:val="center"/>
          </w:tcPr>
          <w:p>
            <w:pPr>
              <w:spacing w:after="60" w:before="60"/>
              <w:ind w:left="115"/>
            </w:pPr>
            <w:r>
              <w:rPr>
                <w:b w:val="false"/>
                <w:bCs w:val="false"/>
                <w:color w:val="4A4A4A"/>
                <w:sz w:val="20"/>
                <w:szCs w:val="20"/>
              </w:rPr>
              <w:t xml:space="preserve">api-nodes</w:t>
            </w:r>
          </w:p>
        </w:tc>
        <w:tc>
          <w:tcPr>
            <w:tcW w:type="dxa" w:w="4500"/>
            <w:shd w:fill="FFFFFF" w:val="clear"/>
            <w:vAlign w:val="center"/>
          </w:tcPr>
          <w:p>
            <w:pPr>
              <w:spacing w:after="60" w:before="60"/>
              <w:ind w:left="115"/>
            </w:pPr>
            <w:r>
              <w:rPr>
                <w:b w:val="false"/>
                <w:bCs w:val="false"/>
                <w:color w:val="4A4A4A"/>
                <w:sz w:val="20"/>
                <w:szCs w:val="20"/>
              </w:rPr>
              <w:t xml:space="preserve">c7g.xlarge × 3–10 (auto-scale). Runs Go API pods. ARM64, spot instances for 60% cost saving.</w:t>
            </w:r>
          </w:p>
        </w:tc>
      </w:tr>
      <w:tr>
        <w:tc>
          <w:tcPr>
            <w:tcW w:type="dxa" w:w="4500"/>
            <w:shd w:fill="F9FAFB" w:val="clear"/>
            <w:vAlign w:val="center"/>
          </w:tcPr>
          <w:p>
            <w:pPr>
              <w:spacing w:after="60" w:before="60"/>
              <w:ind w:left="115"/>
            </w:pPr>
            <w:r>
              <w:rPr>
                <w:b w:val="false"/>
                <w:bCs w:val="false"/>
                <w:color w:val="4A4A4A"/>
                <w:sz w:val="20"/>
                <w:szCs w:val="20"/>
              </w:rPr>
              <w:t xml:space="preserve">ai-nodes</w:t>
            </w:r>
          </w:p>
        </w:tc>
        <w:tc>
          <w:tcPr>
            <w:tcW w:type="dxa" w:w="4500"/>
            <w:shd w:fill="F9FAFB" w:val="clear"/>
            <w:vAlign w:val="center"/>
          </w:tcPr>
          <w:p>
            <w:pPr>
              <w:spacing w:after="60" w:before="60"/>
              <w:ind w:left="115"/>
            </w:pPr>
            <w:r>
              <w:rPr>
                <w:b w:val="false"/>
                <w:bCs w:val="false"/>
                <w:color w:val="4A4A4A"/>
                <w:sz w:val="20"/>
                <w:szCs w:val="20"/>
              </w:rPr>
              <w:t xml:space="preserve">g5.xlarge × 1–4 (auto-scale on GPU utilization). Runs Python AI service with NVIDIA A10G GPU.</w:t>
            </w:r>
          </w:p>
        </w:tc>
      </w:tr>
      <w:tr>
        <w:tc>
          <w:tcPr>
            <w:tcW w:type="dxa" w:w="4500"/>
            <w:shd w:fill="FFFFFF" w:val="clear"/>
            <w:vAlign w:val="center"/>
          </w:tcPr>
          <w:p>
            <w:pPr>
              <w:spacing w:after="60" w:before="60"/>
              <w:ind w:left="115"/>
            </w:pPr>
            <w:r>
              <w:rPr>
                <w:b w:val="false"/>
                <w:bCs w:val="false"/>
                <w:color w:val="4A4A4A"/>
                <w:sz w:val="20"/>
                <w:szCs w:val="20"/>
              </w:rPr>
              <w:t xml:space="preserve">data-nodes</w:t>
            </w:r>
          </w:p>
        </w:tc>
        <w:tc>
          <w:tcPr>
            <w:tcW w:type="dxa" w:w="4500"/>
            <w:shd w:fill="FFFFFF" w:val="clear"/>
            <w:vAlign w:val="center"/>
          </w:tcPr>
          <w:p>
            <w:pPr>
              <w:spacing w:after="60" w:before="60"/>
              <w:ind w:left="115"/>
            </w:pPr>
            <w:r>
              <w:rPr>
                <w:b w:val="false"/>
                <w:bCs w:val="false"/>
                <w:color w:val="4A4A4A"/>
                <w:sz w:val="20"/>
                <w:szCs w:val="20"/>
              </w:rPr>
              <w:t xml:space="preserve">r7g.2xlarge × 2 (on-demand). Runs PgBouncer, Redis, monitoring stack. Memory-optimized.</w:t>
            </w:r>
          </w:p>
        </w:tc>
      </w:tr>
      <w:tr>
        <w:tc>
          <w:tcPr>
            <w:tcW w:type="dxa" w:w="4500"/>
            <w:shd w:fill="F9FAFB" w:val="clear"/>
            <w:vAlign w:val="center"/>
          </w:tcPr>
          <w:p>
            <w:pPr>
              <w:spacing w:after="60" w:before="60"/>
              <w:ind w:left="115"/>
            </w:pPr>
            <w:r>
              <w:rPr>
                <w:b w:val="false"/>
                <w:bCs w:val="false"/>
                <w:color w:val="4A4A4A"/>
                <w:sz w:val="20"/>
                <w:szCs w:val="20"/>
              </w:rPr>
              <w:t xml:space="preserve">system-nodes</w:t>
            </w:r>
          </w:p>
        </w:tc>
        <w:tc>
          <w:tcPr>
            <w:tcW w:type="dxa" w:w="4500"/>
            <w:shd w:fill="F9FAFB" w:val="clear"/>
            <w:vAlign w:val="center"/>
          </w:tcPr>
          <w:p>
            <w:pPr>
              <w:spacing w:after="60" w:before="60"/>
              <w:ind w:left="115"/>
            </w:pPr>
            <w:r>
              <w:rPr>
                <w:b w:val="false"/>
                <w:bCs w:val="false"/>
                <w:color w:val="4A4A4A"/>
                <w:sz w:val="20"/>
                <w:szCs w:val="20"/>
              </w:rPr>
              <w:t xml:space="preserve">t4g.medium × 2 (on-demand). Cluster-critical: cert-manager, Vault agent, Kong, Watchtower.</w:t>
            </w:r>
          </w:p>
        </w:tc>
      </w:tr>
    </w:tbl>
    <w:p>
      <w:pPr>
        <w:pStyle w:val="Heading3"/>
        <w:spacing w:after="80" w:before="240"/>
      </w:pPr>
      <w:r>
        <w:t xml:space="preserve">8.1.2 Namespace Layout</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edugraph-prod          ← all production services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edugraph-staging        ← staging environment (identical config, smaller instances)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edugraph-monitoring     ← Prometheus, Grafana, AlertManager</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edugraph-security       ← Vault agent, OPA Gatekeeper</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kong                    ← Kong Gateway and its DB</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cert-manager            ← TLS certificate automation</w:t>
      </w:r>
    </w:p>
    <w:p>
      <w:pPr>
        <w:pStyle w:val="Heading3"/>
        <w:spacing w:after="80" w:before="240"/>
      </w:pPr>
      <w:r>
        <w:t xml:space="preserve">8.1.3 Pod Autoscaling</w:t>
      </w:r>
    </w:p>
    <w:p>
      <w:pPr>
        <w:spacing w:after="60" w:before="60"/>
        <w:ind w:left="0"/>
      </w:pPr>
      <w:r>
        <w:rPr>
          <w:color w:val="4A4A4A"/>
          <w:sz w:val="22"/>
          <w:szCs w:val="22"/>
        </w:rPr>
        <w:t xml:space="preserve">Horizontal Pod Autoscaler (HPA) governs each service: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Service</w:t>
            </w:r>
          </w:p>
        </w:tc>
        <w:tc>
          <w:tcPr>
            <w:tcW w:type="dxa" w:w="4500"/>
            <w:shd w:fill="1A4A7A" w:val="clear"/>
            <w:vAlign w:val="center"/>
          </w:tcPr>
          <w:p>
            <w:pPr>
              <w:spacing w:after="60" w:before="60"/>
              <w:ind w:left="115"/>
            </w:pPr>
            <w:r>
              <w:rPr>
                <w:b/>
                <w:bCs/>
                <w:color w:val="FFFFFF"/>
                <w:sz w:val="20"/>
                <w:szCs w:val="20"/>
              </w:rPr>
              <w:t xml:space="preserve">HPA Configuration</w:t>
            </w:r>
          </w:p>
        </w:tc>
      </w:tr>
      <w:tr>
        <w:tc>
          <w:tcPr>
            <w:tcW w:type="dxa" w:w="4500"/>
            <w:shd w:fill="FFFFFF" w:val="clear"/>
            <w:vAlign w:val="center"/>
          </w:tcPr>
          <w:p>
            <w:pPr>
              <w:spacing w:after="60" w:before="60"/>
              <w:ind w:left="115"/>
            </w:pPr>
            <w:r>
              <w:rPr>
                <w:b w:val="false"/>
                <w:bCs w:val="false"/>
                <w:color w:val="4A4A4A"/>
                <w:sz w:val="20"/>
                <w:szCs w:val="20"/>
              </w:rPr>
              <w:t xml:space="preserve">Go Core API</w:t>
            </w:r>
          </w:p>
        </w:tc>
        <w:tc>
          <w:tcPr>
            <w:tcW w:type="dxa" w:w="4500"/>
            <w:shd w:fill="FFFFFF" w:val="clear"/>
            <w:vAlign w:val="center"/>
          </w:tcPr>
          <w:p>
            <w:pPr>
              <w:spacing w:after="60" w:before="60"/>
              <w:ind w:left="115"/>
            </w:pPr>
            <w:r>
              <w:rPr>
                <w:b w:val="false"/>
                <w:bCs w:val="false"/>
                <w:color w:val="4A4A4A"/>
                <w:sz w:val="20"/>
                <w:szCs w:val="20"/>
              </w:rPr>
              <w:t xml:space="preserve">min: 3, max: 20, scale on CPU &gt;65% or WebSocket connections &gt;800/pod</w:t>
            </w:r>
          </w:p>
        </w:tc>
      </w:tr>
      <w:tr>
        <w:tc>
          <w:tcPr>
            <w:tcW w:type="dxa" w:w="4500"/>
            <w:shd w:fill="F9FAFB" w:val="clear"/>
            <w:vAlign w:val="center"/>
          </w:tcPr>
          <w:p>
            <w:pPr>
              <w:spacing w:after="60" w:before="60"/>
              <w:ind w:left="115"/>
            </w:pPr>
            <w:r>
              <w:rPr>
                <w:b w:val="false"/>
                <w:bCs w:val="false"/>
                <w:color w:val="4A4A4A"/>
                <w:sz w:val="20"/>
                <w:szCs w:val="20"/>
              </w:rPr>
              <w:t xml:space="preserve">Python AI Service</w:t>
            </w:r>
          </w:p>
        </w:tc>
        <w:tc>
          <w:tcPr>
            <w:tcW w:type="dxa" w:w="4500"/>
            <w:shd w:fill="F9FAFB" w:val="clear"/>
            <w:vAlign w:val="center"/>
          </w:tcPr>
          <w:p>
            <w:pPr>
              <w:spacing w:after="60" w:before="60"/>
              <w:ind w:left="115"/>
            </w:pPr>
            <w:r>
              <w:rPr>
                <w:b w:val="false"/>
                <w:bCs w:val="false"/>
                <w:color w:val="4A4A4A"/>
                <w:sz w:val="20"/>
                <w:szCs w:val="20"/>
              </w:rPr>
              <w:t xml:space="preserve">min: 1, max: 8, scale on GPU utilization &gt;70% or queue depth &gt;50 jobs</w:t>
            </w:r>
          </w:p>
        </w:tc>
      </w:tr>
      <w:tr>
        <w:tc>
          <w:tcPr>
            <w:tcW w:type="dxa" w:w="4500"/>
            <w:shd w:fill="FFFFFF" w:val="clear"/>
            <w:vAlign w:val="center"/>
          </w:tcPr>
          <w:p>
            <w:pPr>
              <w:spacing w:after="60" w:before="60"/>
              <w:ind w:left="115"/>
            </w:pPr>
            <w:r>
              <w:rPr>
                <w:b w:val="false"/>
                <w:bCs w:val="false"/>
                <w:color w:val="4A4A4A"/>
                <w:sz w:val="20"/>
                <w:szCs w:val="20"/>
              </w:rPr>
              <w:t xml:space="preserve">Kong Gateway</w:t>
            </w:r>
          </w:p>
        </w:tc>
        <w:tc>
          <w:tcPr>
            <w:tcW w:type="dxa" w:w="4500"/>
            <w:shd w:fill="FFFFFF" w:val="clear"/>
            <w:vAlign w:val="center"/>
          </w:tcPr>
          <w:p>
            <w:pPr>
              <w:spacing w:after="60" w:before="60"/>
              <w:ind w:left="115"/>
            </w:pPr>
            <w:r>
              <w:rPr>
                <w:b w:val="false"/>
                <w:bCs w:val="false"/>
                <w:color w:val="4A4A4A"/>
                <w:sz w:val="20"/>
                <w:szCs w:val="20"/>
              </w:rPr>
              <w:t xml:space="preserve">min: 2, max: 6, scale on CPU &gt;60%</w:t>
            </w:r>
          </w:p>
        </w:tc>
      </w:tr>
      <w:tr>
        <w:tc>
          <w:tcPr>
            <w:tcW w:type="dxa" w:w="4500"/>
            <w:shd w:fill="F9FAFB" w:val="clear"/>
            <w:vAlign w:val="center"/>
          </w:tcPr>
          <w:p>
            <w:pPr>
              <w:spacing w:after="60" w:before="60"/>
              <w:ind w:left="115"/>
            </w:pPr>
            <w:r>
              <w:rPr>
                <w:b w:val="false"/>
                <w:bCs w:val="false"/>
                <w:color w:val="4A4A4A"/>
                <w:sz w:val="20"/>
                <w:szCs w:val="20"/>
              </w:rPr>
              <w:t xml:space="preserve">ElectricSQL</w:t>
            </w:r>
          </w:p>
        </w:tc>
        <w:tc>
          <w:tcPr>
            <w:tcW w:type="dxa" w:w="4500"/>
            <w:shd w:fill="F9FAFB" w:val="clear"/>
            <w:vAlign w:val="center"/>
          </w:tcPr>
          <w:p>
            <w:pPr>
              <w:spacing w:after="60" w:before="60"/>
              <w:ind w:left="115"/>
            </w:pPr>
            <w:r>
              <w:rPr>
                <w:b w:val="false"/>
                <w:bCs w:val="false"/>
                <w:color w:val="4A4A4A"/>
                <w:sz w:val="20"/>
                <w:szCs w:val="20"/>
              </w:rPr>
              <w:t xml:space="preserve">min: 2, max: 4, scale on active sync connections &gt;100</w:t>
            </w:r>
          </w:p>
        </w:tc>
      </w:tr>
    </w:tbl>
    <w:p>
      <w:pPr>
        <w:pStyle w:val="Heading2"/>
        <w:spacing w:after="120" w:before="320"/>
      </w:pPr>
      <w:r>
        <w:t xml:space="preserve">8.2 Terraform Infrastructure as Code</w:t>
      </w:r>
    </w:p>
    <w:p>
      <w:pPr>
        <w:spacing w:after="60" w:before="60"/>
        <w:ind w:left="0"/>
      </w:pPr>
      <w:r>
        <w:rPr>
          <w:color w:val="4A4A4A"/>
          <w:sz w:val="22"/>
          <w:szCs w:val="22"/>
        </w:rPr>
        <w:t xml:space="preserve">All cloud resources are defined in Terraform. No manual changes to any infrastructure resource are permitted. The Terraform state is stored in an S3 backend with DynamoDB locking.</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infra/</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modules/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eks/           ← EKS cluster, node groups, IRSA roles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rds/           ← PostgreSQL RDS, parameter groups, read replica</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redis/         ← ElastiCache Redis cluster</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s3/            ← All S3 buckets with policies and lifecycle rules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vpc/           ← VPC, subnets, NACLs, security groups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vault/         ← HashiCorp Vault on EKS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waf/           ← AWS WAF rules attached to Kong ALB</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envs/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prod/          ← terraform.tfvars for production</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staging/       ← terraform.tfvars for staging</w:t>
      </w:r>
    </w:p>
    <w:p>
      <w:pPr>
        <w:pStyle w:val="Heading2"/>
        <w:spacing w:after="120" w:before="320"/>
      </w:pPr>
      <w:r>
        <w:t xml:space="preserve">8.3 CI/CD Pipeline</w:t>
      </w:r>
    </w:p>
    <w:p>
      <w:pPr>
        <w:spacing w:after="60" w:before="60"/>
        <w:ind w:left="0"/>
      </w:pPr>
      <w:r>
        <w:rPr>
          <w:color w:val="4A4A4A"/>
          <w:sz w:val="22"/>
          <w:szCs w:val="22"/>
        </w:rPr>
        <w:t xml:space="preserve">GitHub Actions drives all deployments. Direct pushes to main are blocked — all changes require a pull request with at least one review.</w:t>
      </w:r>
    </w:p>
    <w:p>
      <w:pPr>
        <w:pStyle w:val="Heading3"/>
        <w:spacing w:after="80" w:before="240"/>
      </w:pPr>
      <w:r>
        <w:t xml:space="preserve">8.3.1 Pipeline Stages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Stage</w:t>
            </w:r>
          </w:p>
        </w:tc>
        <w:tc>
          <w:tcPr>
            <w:tcW w:type="dxa" w:w="4500"/>
            <w:shd w:fill="1A4A7A" w:val="clear"/>
            <w:vAlign w:val="center"/>
          </w:tcPr>
          <w:p>
            <w:pPr>
              <w:spacing w:after="60" w:before="60"/>
              <w:ind w:left="115"/>
            </w:pPr>
            <w:r>
              <w:rPr>
                <w:b/>
                <w:bCs/>
                <w:color w:val="FFFFFF"/>
                <w:sz w:val="20"/>
                <w:szCs w:val="20"/>
              </w:rPr>
              <w:t xml:space="preserve">Details</w:t>
            </w:r>
          </w:p>
        </w:tc>
      </w:tr>
      <w:tr>
        <w:tc>
          <w:tcPr>
            <w:tcW w:type="dxa" w:w="4500"/>
            <w:shd w:fill="FFFFFF" w:val="clear"/>
            <w:vAlign w:val="center"/>
          </w:tcPr>
          <w:p>
            <w:pPr>
              <w:spacing w:after="60" w:before="60"/>
              <w:ind w:left="115"/>
            </w:pPr>
            <w:r>
              <w:rPr>
                <w:b w:val="false"/>
                <w:bCs w:val="false"/>
                <w:color w:val="4A4A4A"/>
                <w:sz w:val="20"/>
                <w:szCs w:val="20"/>
              </w:rPr>
              <w:t xml:space="preserve">1. Lint &amp; format</w:t>
            </w:r>
          </w:p>
        </w:tc>
        <w:tc>
          <w:tcPr>
            <w:tcW w:type="dxa" w:w="4500"/>
            <w:shd w:fill="FFFFFF" w:val="clear"/>
            <w:vAlign w:val="center"/>
          </w:tcPr>
          <w:p>
            <w:pPr>
              <w:spacing w:after="60" w:before="60"/>
              <w:ind w:left="115"/>
            </w:pPr>
            <w:r>
              <w:rPr>
                <w:b w:val="false"/>
                <w:bCs w:val="false"/>
                <w:color w:val="4A4A4A"/>
                <w:sz w:val="20"/>
                <w:szCs w:val="20"/>
              </w:rPr>
              <w:t xml:space="preserve">golangci-lint (Go), ruff (Python), eslint (TypeScript). PR blocked on lint failure.</w:t>
            </w:r>
          </w:p>
        </w:tc>
      </w:tr>
      <w:tr>
        <w:tc>
          <w:tcPr>
            <w:tcW w:type="dxa" w:w="4500"/>
            <w:shd w:fill="F9FAFB" w:val="clear"/>
            <w:vAlign w:val="center"/>
          </w:tcPr>
          <w:p>
            <w:pPr>
              <w:spacing w:after="60" w:before="60"/>
              <w:ind w:left="115"/>
            </w:pPr>
            <w:r>
              <w:rPr>
                <w:b w:val="false"/>
                <w:bCs w:val="false"/>
                <w:color w:val="4A4A4A"/>
                <w:sz w:val="20"/>
                <w:szCs w:val="20"/>
              </w:rPr>
              <w:t xml:space="preserve">2. Unit tests</w:t>
            </w:r>
          </w:p>
        </w:tc>
        <w:tc>
          <w:tcPr>
            <w:tcW w:type="dxa" w:w="4500"/>
            <w:shd w:fill="F9FAFB" w:val="clear"/>
            <w:vAlign w:val="center"/>
          </w:tcPr>
          <w:p>
            <w:pPr>
              <w:spacing w:after="60" w:before="60"/>
              <w:ind w:left="115"/>
            </w:pPr>
            <w:r>
              <w:rPr>
                <w:b w:val="false"/>
                <w:bCs w:val="false"/>
                <w:color w:val="4A4A4A"/>
                <w:sz w:val="20"/>
                <w:szCs w:val="20"/>
              </w:rPr>
              <w:t xml:space="preserve">go test ./... with -race flag. pytest. Vitest for React. Coverage gate: &gt;80% on new code.</w:t>
            </w:r>
          </w:p>
        </w:tc>
      </w:tr>
      <w:tr>
        <w:tc>
          <w:tcPr>
            <w:tcW w:type="dxa" w:w="4500"/>
            <w:shd w:fill="FFFFFF" w:val="clear"/>
            <w:vAlign w:val="center"/>
          </w:tcPr>
          <w:p>
            <w:pPr>
              <w:spacing w:after="60" w:before="60"/>
              <w:ind w:left="115"/>
            </w:pPr>
            <w:r>
              <w:rPr>
                <w:b w:val="false"/>
                <w:bCs w:val="false"/>
                <w:color w:val="4A4A4A"/>
                <w:sz w:val="20"/>
                <w:szCs w:val="20"/>
              </w:rPr>
              <w:t xml:space="preserve">3. Integration tests</w:t>
            </w:r>
          </w:p>
        </w:tc>
        <w:tc>
          <w:tcPr>
            <w:tcW w:type="dxa" w:w="4500"/>
            <w:shd w:fill="FFFFFF" w:val="clear"/>
            <w:vAlign w:val="center"/>
          </w:tcPr>
          <w:p>
            <w:pPr>
              <w:spacing w:after="60" w:before="60"/>
              <w:ind w:left="115"/>
            </w:pPr>
            <w:r>
              <w:rPr>
                <w:b w:val="false"/>
                <w:bCs w:val="false"/>
                <w:color w:val="4A4A4A"/>
                <w:sz w:val="20"/>
                <w:szCs w:val="20"/>
              </w:rPr>
              <w:t xml:space="preserve">Testcontainers spins up real PostgreSQL + Neo4j + Redis. Tests run against live DBs in Docker.</w:t>
            </w:r>
          </w:p>
        </w:tc>
      </w:tr>
      <w:tr>
        <w:tc>
          <w:tcPr>
            <w:tcW w:type="dxa" w:w="4500"/>
            <w:shd w:fill="F9FAFB" w:val="clear"/>
            <w:vAlign w:val="center"/>
          </w:tcPr>
          <w:p>
            <w:pPr>
              <w:spacing w:after="60" w:before="60"/>
              <w:ind w:left="115"/>
            </w:pPr>
            <w:r>
              <w:rPr>
                <w:b w:val="false"/>
                <w:bCs w:val="false"/>
                <w:color w:val="4A4A4A"/>
                <w:sz w:val="20"/>
                <w:szCs w:val="20"/>
              </w:rPr>
              <w:t xml:space="preserve">4. Security scan</w:t>
            </w:r>
          </w:p>
        </w:tc>
        <w:tc>
          <w:tcPr>
            <w:tcW w:type="dxa" w:w="4500"/>
            <w:shd w:fill="F9FAFB" w:val="clear"/>
            <w:vAlign w:val="center"/>
          </w:tcPr>
          <w:p>
            <w:pPr>
              <w:spacing w:after="60" w:before="60"/>
              <w:ind w:left="115"/>
            </w:pPr>
            <w:r>
              <w:rPr>
                <w:b w:val="false"/>
                <w:bCs w:val="false"/>
                <w:color w:val="4A4A4A"/>
                <w:sz w:val="20"/>
                <w:szCs w:val="20"/>
              </w:rPr>
              <w:t xml:space="preserve">Trivy scans all Docker images for CVEs. govulncheck for Go. snyk for npm dependencies.</w:t>
            </w:r>
          </w:p>
        </w:tc>
      </w:tr>
      <w:tr>
        <w:tc>
          <w:tcPr>
            <w:tcW w:type="dxa" w:w="4500"/>
            <w:shd w:fill="FFFFFF" w:val="clear"/>
            <w:vAlign w:val="center"/>
          </w:tcPr>
          <w:p>
            <w:pPr>
              <w:spacing w:after="60" w:before="60"/>
              <w:ind w:left="115"/>
            </w:pPr>
            <w:r>
              <w:rPr>
                <w:b w:val="false"/>
                <w:bCs w:val="false"/>
                <w:color w:val="4A4A4A"/>
                <w:sz w:val="20"/>
                <w:szCs w:val="20"/>
              </w:rPr>
              <w:t xml:space="preserve">5. Build &amp; push</w:t>
            </w:r>
          </w:p>
        </w:tc>
        <w:tc>
          <w:tcPr>
            <w:tcW w:type="dxa" w:w="4500"/>
            <w:shd w:fill="FFFFFF" w:val="clear"/>
            <w:vAlign w:val="center"/>
          </w:tcPr>
          <w:p>
            <w:pPr>
              <w:spacing w:after="60" w:before="60"/>
              <w:ind w:left="115"/>
            </w:pPr>
            <w:r>
              <w:rPr>
                <w:b w:val="false"/>
                <w:bCs w:val="false"/>
                <w:color w:val="4A4A4A"/>
                <w:sz w:val="20"/>
                <w:szCs w:val="20"/>
              </w:rPr>
              <w:t xml:space="preserve">Docker images built with buildx (multi-arch: arm64 + amd64). Tagged with git SHA, pushed to ECR.</w:t>
            </w:r>
          </w:p>
        </w:tc>
      </w:tr>
      <w:tr>
        <w:tc>
          <w:tcPr>
            <w:tcW w:type="dxa" w:w="4500"/>
            <w:shd w:fill="F9FAFB" w:val="clear"/>
            <w:vAlign w:val="center"/>
          </w:tcPr>
          <w:p>
            <w:pPr>
              <w:spacing w:after="60" w:before="60"/>
              <w:ind w:left="115"/>
            </w:pPr>
            <w:r>
              <w:rPr>
                <w:b w:val="false"/>
                <w:bCs w:val="false"/>
                <w:color w:val="4A4A4A"/>
                <w:sz w:val="20"/>
                <w:szCs w:val="20"/>
              </w:rPr>
              <w:t xml:space="preserve">6. Staging deploy</w:t>
            </w:r>
          </w:p>
        </w:tc>
        <w:tc>
          <w:tcPr>
            <w:tcW w:type="dxa" w:w="4500"/>
            <w:shd w:fill="F9FAFB" w:val="clear"/>
            <w:vAlign w:val="center"/>
          </w:tcPr>
          <w:p>
            <w:pPr>
              <w:spacing w:after="60" w:before="60"/>
              <w:ind w:left="115"/>
            </w:pPr>
            <w:r>
              <w:rPr>
                <w:b w:val="false"/>
                <w:bCs w:val="false"/>
                <w:color w:val="4A4A4A"/>
                <w:sz w:val="20"/>
                <w:szCs w:val="20"/>
              </w:rPr>
              <w:t xml:space="preserve">Helm upgrade --atomic --timeout 5m. Smoke tests run against staging. Auto-rollback on failure.</w:t>
            </w:r>
          </w:p>
        </w:tc>
      </w:tr>
      <w:tr>
        <w:tc>
          <w:tcPr>
            <w:tcW w:type="dxa" w:w="4500"/>
            <w:shd w:fill="FFFFFF" w:val="clear"/>
            <w:vAlign w:val="center"/>
          </w:tcPr>
          <w:p>
            <w:pPr>
              <w:spacing w:after="60" w:before="60"/>
              <w:ind w:left="115"/>
            </w:pPr>
            <w:r>
              <w:rPr>
                <w:b w:val="false"/>
                <w:bCs w:val="false"/>
                <w:color w:val="4A4A4A"/>
                <w:sz w:val="20"/>
                <w:szCs w:val="20"/>
              </w:rPr>
              <w:t xml:space="preserve">7. Prod deploy</w:t>
            </w:r>
          </w:p>
        </w:tc>
        <w:tc>
          <w:tcPr>
            <w:tcW w:type="dxa" w:w="4500"/>
            <w:shd w:fill="FFFFFF" w:val="clear"/>
            <w:vAlign w:val="center"/>
          </w:tcPr>
          <w:p>
            <w:pPr>
              <w:spacing w:after="60" w:before="60"/>
              <w:ind w:left="115"/>
            </w:pPr>
            <w:r>
              <w:rPr>
                <w:b w:val="false"/>
                <w:bCs w:val="false"/>
                <w:color w:val="4A4A4A"/>
                <w:sz w:val="20"/>
                <w:szCs w:val="20"/>
              </w:rPr>
              <w:t xml:space="preserve">Manual approval required. Deploys with 25% canary first, 100% after 10-minute health check.</w:t>
            </w:r>
          </w:p>
        </w:tc>
      </w:tr>
      <w:tr>
        <w:tc>
          <w:tcPr>
            <w:tcW w:type="dxa" w:w="4500"/>
            <w:shd w:fill="F9FAFB" w:val="clear"/>
            <w:vAlign w:val="center"/>
          </w:tcPr>
          <w:p>
            <w:pPr>
              <w:spacing w:after="60" w:before="60"/>
              <w:ind w:left="115"/>
            </w:pPr>
            <w:r>
              <w:rPr>
                <w:b w:val="false"/>
                <w:bCs w:val="false"/>
                <w:color w:val="4A4A4A"/>
                <w:sz w:val="20"/>
                <w:szCs w:val="20"/>
              </w:rPr>
              <w:t xml:space="preserve">8. Post-deploy</w:t>
            </w:r>
          </w:p>
        </w:tc>
        <w:tc>
          <w:tcPr>
            <w:tcW w:type="dxa" w:w="4500"/>
            <w:shd w:fill="F9FAFB" w:val="clear"/>
            <w:vAlign w:val="center"/>
          </w:tcPr>
          <w:p>
            <w:pPr>
              <w:spacing w:after="60" w:before="60"/>
              <w:ind w:left="115"/>
            </w:pPr>
            <w:r>
              <w:rPr>
                <w:b w:val="false"/>
                <w:bCs w:val="false"/>
                <w:color w:val="4A4A4A"/>
                <w:sz w:val="20"/>
                <w:szCs w:val="20"/>
              </w:rPr>
              <w:t xml:space="preserve">Datadog synthetic monitor confirms all critical user flows. Slack notification with diff summary.</w:t>
            </w:r>
          </w:p>
        </w:tc>
      </w:tr>
    </w:tbl>
    <w:p>
      <w:pPr>
        <w:pStyle w:val="Heading2"/>
        <w:spacing w:after="120" w:before="320"/>
      </w:pPr>
      <w:r>
        <w:t xml:space="preserve">8.4 Helm Chart Structure</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helm/edugraph/</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Chart.yaml</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values.yaml           ← default values (overridden per env)</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values.prod.yaml      ← production overrides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values.staging.yaml   ← staging overrides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templates/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api-deployment.yaml</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ai-deployment.yaml</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hpa.yaml</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ingress.yaml        ← Kong IngressClass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networkpolicies.yaml</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serviceaccounts.yaml</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configmap.yaml</w:t>
      </w:r>
    </w:p>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09 — Security Architecture</w:t>
            </w:r>
          </w:p>
          <w:p>
            <w:pPr>
              <w:spacing w:after="80" w:before="40"/>
            </w:pPr>
            <w:r>
              <w:rPr>
                <w:i/>
                <w:iCs/>
                <w:color w:val="B3D4FF"/>
                <w:sz w:val="20"/>
                <w:szCs w:val="20"/>
              </w:rPr>
              <w:t xml:space="preserve">Authentication, authorization, encryption, and compliance controls</w:t>
            </w:r>
          </w:p>
        </w:tc>
      </w:tr>
    </w:tbl>
    <w:p>
      <w:pPr>
        <w:spacing w:after="60" w:before="60"/>
      </w:pPr>
    </w:p>
    <w:p>
      <w:pPr>
        <w:spacing w:after="120" w:before="80"/>
      </w:pPr>
      <w:r>
        <w:rPr>
          <w:i/>
          <w:iCs/>
          <w:color w:val="1A1A2E"/>
          <w:sz w:val="23"/>
          <w:szCs w:val="23"/>
        </w:rPr>
        <w:t xml:space="preserve">Security is not a feature — it is a constraint applied at every layer. For a system handling the academic records of 26 million students and national education policy data, any breach is a national crisis.</w:t>
      </w:r>
    </w:p>
    <w:p>
      <w:pPr>
        <w:pStyle w:val="Heading2"/>
        <w:spacing w:after="120" w:before="320"/>
      </w:pPr>
      <w:r>
        <w:t xml:space="preserve">9.1 Authentication</w:t>
      </w:r>
    </w:p>
    <w:p>
      <w:pPr>
        <w:pStyle w:val="Heading3"/>
        <w:spacing w:after="80" w:before="240"/>
      </w:pPr>
      <w:r>
        <w:t xml:space="preserve">9.1.1 JWT + OAuth 2.0 / OpenID Connect</w:t>
      </w:r>
    </w:p>
    <w:p>
      <w:pPr>
        <w:spacing w:after="60" w:before="60"/>
        <w:ind w:left="0"/>
      </w:pPr>
      <w:r>
        <w:rPr>
          <w:color w:val="4A4A4A"/>
          <w:sz w:val="22"/>
          <w:szCs w:val="22"/>
        </w:rPr>
        <w:t xml:space="preserve">All user sessions are managed via short-lived access tokens (JWT, RS256, 15-minute expiry) and long-lived refresh tokens (stored encrypted in Redis, 7-day TTL). The Go auth service issues and validates tokens. Kong validates the access token on every request.</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Token Type</w:t>
            </w:r>
          </w:p>
        </w:tc>
        <w:tc>
          <w:tcPr>
            <w:tcW w:type="dxa" w:w="4500"/>
            <w:shd w:fill="1A4A7A" w:val="clear"/>
            <w:vAlign w:val="center"/>
          </w:tcPr>
          <w:p>
            <w:pPr>
              <w:spacing w:after="60" w:before="60"/>
              <w:ind w:left="115"/>
            </w:pPr>
            <w:r>
              <w:rPr>
                <w:b/>
                <w:bCs/>
                <w:color w:val="FFFFFF"/>
                <w:sz w:val="20"/>
                <w:szCs w:val="20"/>
              </w:rPr>
              <w:t xml:space="preserve">Detail</w:t>
            </w:r>
          </w:p>
        </w:tc>
      </w:tr>
      <w:tr>
        <w:tc>
          <w:tcPr>
            <w:tcW w:type="dxa" w:w="4500"/>
            <w:shd w:fill="FFFFFF" w:val="clear"/>
            <w:vAlign w:val="center"/>
          </w:tcPr>
          <w:p>
            <w:pPr>
              <w:spacing w:after="60" w:before="60"/>
              <w:ind w:left="115"/>
            </w:pPr>
            <w:r>
              <w:rPr>
                <w:b w:val="false"/>
                <w:bCs w:val="false"/>
                <w:color w:val="4A4A4A"/>
                <w:sz w:val="20"/>
                <w:szCs w:val="20"/>
              </w:rPr>
              <w:t xml:space="preserve">Access token</w:t>
            </w:r>
          </w:p>
        </w:tc>
        <w:tc>
          <w:tcPr>
            <w:tcW w:type="dxa" w:w="4500"/>
            <w:shd w:fill="FFFFFF" w:val="clear"/>
            <w:vAlign w:val="center"/>
          </w:tcPr>
          <w:p>
            <w:pPr>
              <w:spacing w:after="60" w:before="60"/>
              <w:ind w:left="115"/>
            </w:pPr>
            <w:r>
              <w:rPr>
                <w:b w:val="false"/>
                <w:bCs w:val="false"/>
                <w:color w:val="4A4A4A"/>
                <w:sz w:val="20"/>
                <w:szCs w:val="20"/>
              </w:rPr>
              <w:t xml:space="preserve">JWT RS256. Expiry: 15 minutes. Claims: sub, role, schoolId, regionId, iat, exp, jti.</w:t>
            </w:r>
          </w:p>
        </w:tc>
      </w:tr>
      <w:tr>
        <w:tc>
          <w:tcPr>
            <w:tcW w:type="dxa" w:w="4500"/>
            <w:shd w:fill="F9FAFB" w:val="clear"/>
            <w:vAlign w:val="center"/>
          </w:tcPr>
          <w:p>
            <w:pPr>
              <w:spacing w:after="60" w:before="60"/>
              <w:ind w:left="115"/>
            </w:pPr>
            <w:r>
              <w:rPr>
                <w:b w:val="false"/>
                <w:bCs w:val="false"/>
                <w:color w:val="4A4A4A"/>
                <w:sz w:val="20"/>
                <w:szCs w:val="20"/>
              </w:rPr>
              <w:t xml:space="preserve">Refresh token</w:t>
            </w:r>
          </w:p>
        </w:tc>
        <w:tc>
          <w:tcPr>
            <w:tcW w:type="dxa" w:w="4500"/>
            <w:shd w:fill="F9FAFB" w:val="clear"/>
            <w:vAlign w:val="center"/>
          </w:tcPr>
          <w:p>
            <w:pPr>
              <w:spacing w:after="60" w:before="60"/>
              <w:ind w:left="115"/>
            </w:pPr>
            <w:r>
              <w:rPr>
                <w:b w:val="false"/>
                <w:bCs w:val="false"/>
                <w:color w:val="4A4A4A"/>
                <w:sz w:val="20"/>
                <w:szCs w:val="20"/>
              </w:rPr>
              <w:t xml:space="preserve">UUID v4, stored as SHA-256 hash in Redis with user binding. Expiry: 7 days. Single-use (rotated on each refresh).</w:t>
            </w:r>
          </w:p>
        </w:tc>
      </w:tr>
      <w:tr>
        <w:tc>
          <w:tcPr>
            <w:tcW w:type="dxa" w:w="4500"/>
            <w:shd w:fill="FFFFFF" w:val="clear"/>
            <w:vAlign w:val="center"/>
          </w:tcPr>
          <w:p>
            <w:pPr>
              <w:spacing w:after="60" w:before="60"/>
              <w:ind w:left="115"/>
            </w:pPr>
            <w:r>
              <w:rPr>
                <w:b w:val="false"/>
                <w:bCs w:val="false"/>
                <w:color w:val="4A4A4A"/>
                <w:sz w:val="20"/>
                <w:szCs w:val="20"/>
              </w:rPr>
              <w:t xml:space="preserve">Ministry SSO</w:t>
            </w:r>
          </w:p>
        </w:tc>
        <w:tc>
          <w:tcPr>
            <w:tcW w:type="dxa" w:w="4500"/>
            <w:shd w:fill="FFFFFF" w:val="clear"/>
            <w:vAlign w:val="center"/>
          </w:tcPr>
          <w:p>
            <w:pPr>
              <w:spacing w:after="60" w:before="60"/>
              <w:ind w:left="115"/>
            </w:pPr>
            <w:r>
              <w:rPr>
                <w:b w:val="false"/>
                <w:bCs w:val="false"/>
                <w:color w:val="4A4A4A"/>
                <w:sz w:val="20"/>
                <w:szCs w:val="20"/>
              </w:rPr>
              <w:t xml:space="preserve">MoE Active Directory via OIDC federation. Kong openid-connect plugin handles the exchange.</w:t>
            </w:r>
          </w:p>
        </w:tc>
      </w:tr>
      <w:tr>
        <w:tc>
          <w:tcPr>
            <w:tcW w:type="dxa" w:w="4500"/>
            <w:shd w:fill="F9FAFB" w:val="clear"/>
            <w:vAlign w:val="center"/>
          </w:tcPr>
          <w:p>
            <w:pPr>
              <w:spacing w:after="60" w:before="60"/>
              <w:ind w:left="115"/>
            </w:pPr>
            <w:r>
              <w:rPr>
                <w:b w:val="false"/>
                <w:bCs w:val="false"/>
                <w:color w:val="4A4A4A"/>
                <w:sz w:val="20"/>
                <w:szCs w:val="20"/>
              </w:rPr>
              <w:t xml:space="preserve">School Box auth</w:t>
            </w:r>
          </w:p>
        </w:tc>
        <w:tc>
          <w:tcPr>
            <w:tcW w:type="dxa" w:w="4500"/>
            <w:shd w:fill="F9FAFB" w:val="clear"/>
            <w:vAlign w:val="center"/>
          </w:tcPr>
          <w:p>
            <w:pPr>
              <w:spacing w:after="60" w:before="60"/>
              <w:ind w:left="115"/>
            </w:pPr>
            <w:r>
              <w:rPr>
                <w:b w:val="false"/>
                <w:bCs w:val="false"/>
                <w:color w:val="4A4A4A"/>
                <w:sz w:val="20"/>
                <w:szCs w:val="20"/>
              </w:rPr>
              <w:t xml:space="preserve">Local JWT issued by School Box Go API. No cloud call required. Synced revocation list.</w:t>
            </w:r>
          </w:p>
        </w:tc>
      </w:tr>
      <w:tr>
        <w:tc>
          <w:tcPr>
            <w:tcW w:type="dxa" w:w="4500"/>
            <w:shd w:fill="FFFFFF" w:val="clear"/>
            <w:vAlign w:val="center"/>
          </w:tcPr>
          <w:p>
            <w:pPr>
              <w:spacing w:after="60" w:before="60"/>
              <w:ind w:left="115"/>
            </w:pPr>
            <w:r>
              <w:rPr>
                <w:b w:val="false"/>
                <w:bCs w:val="false"/>
                <w:color w:val="4A4A4A"/>
                <w:sz w:val="20"/>
                <w:szCs w:val="20"/>
              </w:rPr>
              <w:t xml:space="preserve">Token rotation</w:t>
            </w:r>
          </w:p>
        </w:tc>
        <w:tc>
          <w:tcPr>
            <w:tcW w:type="dxa" w:w="4500"/>
            <w:shd w:fill="FFFFFF" w:val="clear"/>
            <w:vAlign w:val="center"/>
          </w:tcPr>
          <w:p>
            <w:pPr>
              <w:spacing w:after="60" w:before="60"/>
              <w:ind w:left="115"/>
            </w:pPr>
            <w:r>
              <w:rPr>
                <w:b w:val="false"/>
                <w:bCs w:val="false"/>
                <w:color w:val="4A4A4A"/>
                <w:sz w:val="20"/>
                <w:szCs w:val="20"/>
              </w:rPr>
              <w:t xml:space="preserve">Silent refresh: frontend TanStack Query retries 401 once with refresh token before logout.</w:t>
            </w:r>
          </w:p>
        </w:tc>
      </w:tr>
    </w:tbl>
    <w:p>
      <w:pPr>
        <w:pStyle w:val="Heading3"/>
        <w:spacing w:after="80" w:before="240"/>
      </w:pPr>
      <w:r>
        <w:t xml:space="preserve">9.1.2 Multi-Factor Authentication</w:t>
      </w:r>
    </w:p>
    <w:p>
      <w:pPr>
        <w:spacing w:after="60" w:before="60"/>
        <w:ind w:left="0"/>
      </w:pPr>
      <w:r>
        <w:rPr>
          <w:color w:val="4A4A4A"/>
          <w:sz w:val="22"/>
          <w:szCs w:val="22"/>
        </w:rPr>
        <w:t xml:space="preserve">MFA is mandatory for all roles above Student. TOTP (RFC 6238, 30-second window, 6-digit code) via any authenticator app. Backup codes: 8 single-use codes generated at MFA enrollment, stored as bcrypt hashes. SMS fallback available for Ministry users via AWS SNS (Amharic OTP message).</w:t>
      </w:r>
    </w:p>
    <w:p>
      <w:pPr>
        <w:pStyle w:val="Heading2"/>
        <w:spacing w:after="120" w:before="320"/>
      </w:pPr>
      <w:r>
        <w:t xml:space="preserve">9.2 Authorization — Role-Based Access Control</w:t>
      </w:r>
    </w:p>
    <w:p>
      <w:pPr>
        <w:pStyle w:val="Heading3"/>
        <w:spacing w:after="80" w:before="240"/>
      </w:pPr>
      <w:r>
        <w:t xml:space="preserve">9.2.1 Role Hierarchy</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Role</w:t>
            </w:r>
          </w:p>
        </w:tc>
        <w:tc>
          <w:tcPr>
            <w:tcW w:type="dxa" w:w="4500"/>
            <w:shd w:fill="1A4A7A" w:val="clear"/>
            <w:vAlign w:val="center"/>
          </w:tcPr>
          <w:p>
            <w:pPr>
              <w:spacing w:after="60" w:before="60"/>
              <w:ind w:left="115"/>
            </w:pPr>
            <w:r>
              <w:rPr>
                <w:b/>
                <w:bCs/>
                <w:color w:val="FFFFFF"/>
                <w:sz w:val="20"/>
                <w:szCs w:val="20"/>
              </w:rPr>
              <w:t xml:space="preserve">Data Access Scope</w:t>
            </w:r>
          </w:p>
        </w:tc>
      </w:tr>
      <w:tr>
        <w:tc>
          <w:tcPr>
            <w:tcW w:type="dxa" w:w="4500"/>
            <w:shd w:fill="FFFFFF" w:val="clear"/>
            <w:vAlign w:val="center"/>
          </w:tcPr>
          <w:p>
            <w:pPr>
              <w:spacing w:after="60" w:before="60"/>
              <w:ind w:left="115"/>
            </w:pPr>
            <w:r>
              <w:rPr>
                <w:b w:val="false"/>
                <w:bCs w:val="false"/>
                <w:color w:val="4A4A4A"/>
                <w:sz w:val="20"/>
                <w:szCs w:val="20"/>
              </w:rPr>
              <w:t xml:space="preserve">student</w:t>
            </w:r>
          </w:p>
        </w:tc>
        <w:tc>
          <w:tcPr>
            <w:tcW w:type="dxa" w:w="4500"/>
            <w:shd w:fill="FFFFFF" w:val="clear"/>
            <w:vAlign w:val="center"/>
          </w:tcPr>
          <w:p>
            <w:pPr>
              <w:spacing w:after="60" w:before="60"/>
              <w:ind w:left="115"/>
            </w:pPr>
            <w:r>
              <w:rPr>
                <w:b w:val="false"/>
                <w:bCs w:val="false"/>
                <w:color w:val="4A4A4A"/>
                <w:sz w:val="20"/>
                <w:szCs w:val="20"/>
              </w:rPr>
              <w:t xml:space="preserve">Own profile, own gap analysis, own study plan, own career recommendations.</w:t>
            </w:r>
          </w:p>
        </w:tc>
      </w:tr>
      <w:tr>
        <w:tc>
          <w:tcPr>
            <w:tcW w:type="dxa" w:w="4500"/>
            <w:shd w:fill="F9FAFB" w:val="clear"/>
            <w:vAlign w:val="center"/>
          </w:tcPr>
          <w:p>
            <w:pPr>
              <w:spacing w:after="60" w:before="60"/>
              <w:ind w:left="115"/>
            </w:pPr>
            <w:r>
              <w:rPr>
                <w:b w:val="false"/>
                <w:bCs w:val="false"/>
                <w:color w:val="4A4A4A"/>
                <w:sz w:val="20"/>
                <w:szCs w:val="20"/>
              </w:rPr>
              <w:t xml:space="preserve">teacher</w:t>
            </w:r>
          </w:p>
        </w:tc>
        <w:tc>
          <w:tcPr>
            <w:tcW w:type="dxa" w:w="4500"/>
            <w:shd w:fill="F9FAFB" w:val="clear"/>
            <w:vAlign w:val="center"/>
          </w:tcPr>
          <w:p>
            <w:pPr>
              <w:spacing w:after="60" w:before="60"/>
              <w:ind w:left="115"/>
            </w:pPr>
            <w:r>
              <w:rPr>
                <w:b w:val="false"/>
                <w:bCs w:val="false"/>
                <w:color w:val="4A4A4A"/>
                <w:sz w:val="20"/>
                <w:szCs w:val="20"/>
              </w:rPr>
              <w:t xml:space="preserve">Own school's students, own exams, school-level class analytics. Read-only school quality data.</w:t>
            </w:r>
          </w:p>
        </w:tc>
      </w:tr>
      <w:tr>
        <w:tc>
          <w:tcPr>
            <w:tcW w:type="dxa" w:w="4500"/>
            <w:shd w:fill="FFFFFF" w:val="clear"/>
            <w:vAlign w:val="center"/>
          </w:tcPr>
          <w:p>
            <w:pPr>
              <w:spacing w:after="60" w:before="60"/>
              <w:ind w:left="115"/>
            </w:pPr>
            <w:r>
              <w:rPr>
                <w:b w:val="false"/>
                <w:bCs w:val="false"/>
                <w:color w:val="4A4A4A"/>
                <w:sz w:val="20"/>
                <w:szCs w:val="20"/>
              </w:rPr>
              <w:t xml:space="preserve">school_admin</w:t>
            </w:r>
          </w:p>
        </w:tc>
        <w:tc>
          <w:tcPr>
            <w:tcW w:type="dxa" w:w="4500"/>
            <w:shd w:fill="FFFFFF" w:val="clear"/>
            <w:vAlign w:val="center"/>
          </w:tcPr>
          <w:p>
            <w:pPr>
              <w:spacing w:after="60" w:before="60"/>
              <w:ind w:left="115"/>
            </w:pPr>
            <w:r>
              <w:rPr>
                <w:b w:val="false"/>
                <w:bCs w:val="false"/>
                <w:color w:val="4A4A4A"/>
                <w:sz w:val="20"/>
                <w:szCs w:val="20"/>
              </w:rPr>
              <w:t xml:space="preserve">All data for their school. Quality scores, compliance reports, teacher performance.</w:t>
            </w:r>
          </w:p>
        </w:tc>
      </w:tr>
      <w:tr>
        <w:tc>
          <w:tcPr>
            <w:tcW w:type="dxa" w:w="4500"/>
            <w:shd w:fill="F9FAFB" w:val="clear"/>
            <w:vAlign w:val="center"/>
          </w:tcPr>
          <w:p>
            <w:pPr>
              <w:spacing w:after="60" w:before="60"/>
              <w:ind w:left="115"/>
            </w:pPr>
            <w:r>
              <w:rPr>
                <w:b w:val="false"/>
                <w:bCs w:val="false"/>
                <w:color w:val="4A4A4A"/>
                <w:sz w:val="20"/>
                <w:szCs w:val="20"/>
              </w:rPr>
              <w:t xml:space="preserve">regional_bureau</w:t>
            </w:r>
          </w:p>
        </w:tc>
        <w:tc>
          <w:tcPr>
            <w:tcW w:type="dxa" w:w="4500"/>
            <w:shd w:fill="F9FAFB" w:val="clear"/>
            <w:vAlign w:val="center"/>
          </w:tcPr>
          <w:p>
            <w:pPr>
              <w:spacing w:after="60" w:before="60"/>
              <w:ind w:left="115"/>
            </w:pPr>
            <w:r>
              <w:rPr>
                <w:b w:val="false"/>
                <w:bCs w:val="false"/>
                <w:color w:val="4A4A4A"/>
                <w:sz w:val="20"/>
                <w:szCs w:val="20"/>
              </w:rPr>
              <w:t xml:space="preserve">All schools and students in their region. No access to other regions.</w:t>
            </w:r>
          </w:p>
        </w:tc>
      </w:tr>
      <w:tr>
        <w:tc>
          <w:tcPr>
            <w:tcW w:type="dxa" w:w="4500"/>
            <w:shd w:fill="FFFFFF" w:val="clear"/>
            <w:vAlign w:val="center"/>
          </w:tcPr>
          <w:p>
            <w:pPr>
              <w:spacing w:after="60" w:before="60"/>
              <w:ind w:left="115"/>
            </w:pPr>
            <w:r>
              <w:rPr>
                <w:b w:val="false"/>
                <w:bCs w:val="false"/>
                <w:color w:val="4A4A4A"/>
                <w:sz w:val="20"/>
                <w:szCs w:val="20"/>
              </w:rPr>
              <w:t xml:space="preserve">ministry</w:t>
            </w:r>
          </w:p>
        </w:tc>
        <w:tc>
          <w:tcPr>
            <w:tcW w:type="dxa" w:w="4500"/>
            <w:shd w:fill="FFFFFF" w:val="clear"/>
            <w:vAlign w:val="center"/>
          </w:tcPr>
          <w:p>
            <w:pPr>
              <w:spacing w:after="60" w:before="60"/>
              <w:ind w:left="115"/>
            </w:pPr>
            <w:r>
              <w:rPr>
                <w:b w:val="false"/>
                <w:bCs w:val="false"/>
                <w:color w:val="4A4A4A"/>
                <w:sz w:val="20"/>
                <w:szCs w:val="20"/>
              </w:rPr>
              <w:t xml:space="preserve">National aggregates only. Individual student data is anonymized at this level.</w:t>
            </w:r>
          </w:p>
        </w:tc>
      </w:tr>
      <w:tr>
        <w:tc>
          <w:tcPr>
            <w:tcW w:type="dxa" w:w="4500"/>
            <w:shd w:fill="F9FAFB" w:val="clear"/>
            <w:vAlign w:val="center"/>
          </w:tcPr>
          <w:p>
            <w:pPr>
              <w:spacing w:after="60" w:before="60"/>
              <w:ind w:left="115"/>
            </w:pPr>
            <w:r>
              <w:rPr>
                <w:b w:val="false"/>
                <w:bCs w:val="false"/>
                <w:color w:val="4A4A4A"/>
                <w:sz w:val="20"/>
                <w:szCs w:val="20"/>
              </w:rPr>
              <w:t xml:space="preserve">curriculum_officer</w:t>
            </w:r>
          </w:p>
        </w:tc>
        <w:tc>
          <w:tcPr>
            <w:tcW w:type="dxa" w:w="4500"/>
            <w:shd w:fill="F9FAFB" w:val="clear"/>
            <w:vAlign w:val="center"/>
          </w:tcPr>
          <w:p>
            <w:pPr>
              <w:spacing w:after="60" w:before="60"/>
              <w:ind w:left="115"/>
            </w:pPr>
            <w:r>
              <w:rPr>
                <w:b w:val="false"/>
                <w:bCs w:val="false"/>
                <w:color w:val="4A4A4A"/>
                <w:sz w:val="20"/>
                <w:szCs w:val="20"/>
              </w:rPr>
              <w:t xml:space="preserve">Write access to CLO and curriculum graph. Read-only on student data.</w:t>
            </w:r>
          </w:p>
        </w:tc>
      </w:tr>
      <w:tr>
        <w:tc>
          <w:tcPr>
            <w:tcW w:type="dxa" w:w="4500"/>
            <w:shd w:fill="FFFFFF" w:val="clear"/>
            <w:vAlign w:val="center"/>
          </w:tcPr>
          <w:p>
            <w:pPr>
              <w:spacing w:after="60" w:before="60"/>
              <w:ind w:left="115"/>
            </w:pPr>
            <w:r>
              <w:rPr>
                <w:b w:val="false"/>
                <w:bCs w:val="false"/>
                <w:color w:val="4A4A4A"/>
                <w:sz w:val="20"/>
                <w:szCs w:val="20"/>
              </w:rPr>
              <w:t xml:space="preserve">super_admin</w:t>
            </w:r>
          </w:p>
        </w:tc>
        <w:tc>
          <w:tcPr>
            <w:tcW w:type="dxa" w:w="4500"/>
            <w:shd w:fill="FFFFFF" w:val="clear"/>
            <w:vAlign w:val="center"/>
          </w:tcPr>
          <w:p>
            <w:pPr>
              <w:spacing w:after="60" w:before="60"/>
              <w:ind w:left="115"/>
            </w:pPr>
            <w:r>
              <w:rPr>
                <w:b w:val="false"/>
                <w:bCs w:val="false"/>
                <w:color w:val="4A4A4A"/>
                <w:sz w:val="20"/>
                <w:szCs w:val="20"/>
              </w:rPr>
              <w:t xml:space="preserve">Internal EduGraph staff only. Full access. All actions double-logged and require 2-person approval for destructive operations.</w:t>
            </w:r>
          </w:p>
        </w:tc>
      </w:tr>
    </w:tbl>
    <w:p>
      <w:pPr>
        <w:pStyle w:val="Heading3"/>
        <w:spacing w:after="80" w:before="240"/>
      </w:pPr>
      <w:r>
        <w:t xml:space="preserve">9.2.2 Row-Level Security Enforcement</w:t>
      </w:r>
    </w:p>
    <w:p>
      <w:pPr>
        <w:spacing w:after="60" w:before="60"/>
        <w:ind w:left="0"/>
      </w:pPr>
      <w:r>
        <w:rPr>
          <w:color w:val="4A4A4A"/>
          <w:sz w:val="22"/>
          <w:szCs w:val="22"/>
        </w:rPr>
        <w:t xml:space="preserve">RLS is the last line of defense. Even if a role check in Go middleware fails silently (bug or misconfiguration), PostgreSQL RLS prevents the data from being returned. RLS policies are set at the schema level and cannot be bypassed by application code.</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Set before every query in pgx middleware</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SET LOCAL app.current_school_id = $1;</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SET LOCAL app.current_region_id = $2;</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SET LOCAL app.current_role      = $3;</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Example policy (students table)</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CREATE POLICY rls_students ON students</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FOR ALL USING (</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school_id = current_setting('app.current_school_id')::uuid</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OR current_setting('app.current_role') IN ('regional_bureau','ministry','super_admin')</w:t>
      </w:r>
    </w:p>
    <w:p>
      <w:pPr>
        <w:shd w:fill="1E1E2E" w:val="clear"/>
        <w:spacing w:after="40" w:before="40"/>
        <w:ind w:left="288" w:right="288"/>
      </w:pPr>
      <w:r>
        <w:rPr>
          <w:rFonts w:ascii="Courier New" w:cs="Courier New" w:eastAsia="Courier New" w:hAnsi="Courier New"/>
          <w:b w:val="false"/>
          <w:bCs w:val="false"/>
          <w:color w:val="3EA86C"/>
          <w:sz w:val="18"/>
          <w:szCs w:val="18"/>
        </w:rPr>
        <w:t xml:space="preserve">  );</w:t>
      </w:r>
    </w:p>
    <w:p>
      <w:pPr>
        <w:pStyle w:val="Heading3"/>
        <w:spacing w:after="80" w:before="240"/>
      </w:pPr>
      <w:r>
        <w:t xml:space="preserve">9.2.3 Neo4j Authorization</w:t>
      </w:r>
    </w:p>
    <w:p>
      <w:pPr>
        <w:spacing w:after="60" w:before="60"/>
        <w:ind w:left="0"/>
      </w:pPr>
      <w:r>
        <w:rPr>
          <w:color w:val="4A4A4A"/>
          <w:sz w:val="22"/>
          <w:szCs w:val="22"/>
        </w:rPr>
        <w:t xml:space="preserve">Neo4j Enterprise's built-in RBAC is used. Each role maps to a Neo4j database-level role with fine-grained privilege grants. Ministry queries run against a read-only database replica with no access to individual student nodes — only aggregate projections.</w:t>
      </w:r>
    </w:p>
    <w:p>
      <w:pPr>
        <w:pStyle w:val="Heading2"/>
        <w:spacing w:after="120" w:before="320"/>
      </w:pPr>
      <w:r>
        <w:t xml:space="preserve">9.3 Encryption</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Layer</w:t>
            </w:r>
          </w:p>
        </w:tc>
        <w:tc>
          <w:tcPr>
            <w:tcW w:type="dxa" w:w="4500"/>
            <w:shd w:fill="1A4A7A" w:val="clear"/>
            <w:vAlign w:val="center"/>
          </w:tcPr>
          <w:p>
            <w:pPr>
              <w:spacing w:after="60" w:before="60"/>
              <w:ind w:left="115"/>
            </w:pPr>
            <w:r>
              <w:rPr>
                <w:b/>
                <w:bCs/>
                <w:color w:val="FFFFFF"/>
                <w:sz w:val="20"/>
                <w:szCs w:val="20"/>
              </w:rPr>
              <w:t xml:space="preserve">Mechanism</w:t>
            </w:r>
          </w:p>
        </w:tc>
      </w:tr>
      <w:tr>
        <w:tc>
          <w:tcPr>
            <w:tcW w:type="dxa" w:w="4500"/>
            <w:shd w:fill="FFFFFF" w:val="clear"/>
            <w:vAlign w:val="center"/>
          </w:tcPr>
          <w:p>
            <w:pPr>
              <w:spacing w:after="60" w:before="60"/>
              <w:ind w:left="115"/>
            </w:pPr>
            <w:r>
              <w:rPr>
                <w:b w:val="false"/>
                <w:bCs w:val="false"/>
                <w:color w:val="4A4A4A"/>
                <w:sz w:val="20"/>
                <w:szCs w:val="20"/>
              </w:rPr>
              <w:t xml:space="preserve">In transit (external)</w:t>
            </w:r>
          </w:p>
        </w:tc>
        <w:tc>
          <w:tcPr>
            <w:tcW w:type="dxa" w:w="4500"/>
            <w:shd w:fill="FFFFFF" w:val="clear"/>
            <w:vAlign w:val="center"/>
          </w:tcPr>
          <w:p>
            <w:pPr>
              <w:spacing w:after="60" w:before="60"/>
              <w:ind w:left="115"/>
            </w:pPr>
            <w:r>
              <w:rPr>
                <w:b w:val="false"/>
                <w:bCs w:val="false"/>
                <w:color w:val="4A4A4A"/>
                <w:sz w:val="20"/>
                <w:szCs w:val="20"/>
              </w:rPr>
              <w:t xml:space="preserve">TLS 1.3 minimum. HSTS. Certificate pinning on School Box sync connections.</w:t>
            </w:r>
          </w:p>
        </w:tc>
      </w:tr>
      <w:tr>
        <w:tc>
          <w:tcPr>
            <w:tcW w:type="dxa" w:w="4500"/>
            <w:shd w:fill="F9FAFB" w:val="clear"/>
            <w:vAlign w:val="center"/>
          </w:tcPr>
          <w:p>
            <w:pPr>
              <w:spacing w:after="60" w:before="60"/>
              <w:ind w:left="115"/>
            </w:pPr>
            <w:r>
              <w:rPr>
                <w:b w:val="false"/>
                <w:bCs w:val="false"/>
                <w:color w:val="4A4A4A"/>
                <w:sz w:val="20"/>
                <w:szCs w:val="20"/>
              </w:rPr>
              <w:t xml:space="preserve">In transit (internal)</w:t>
            </w:r>
          </w:p>
        </w:tc>
        <w:tc>
          <w:tcPr>
            <w:tcW w:type="dxa" w:w="4500"/>
            <w:shd w:fill="F9FAFB" w:val="clear"/>
            <w:vAlign w:val="center"/>
          </w:tcPr>
          <w:p>
            <w:pPr>
              <w:spacing w:after="60" w:before="60"/>
              <w:ind w:left="115"/>
            </w:pPr>
            <w:r>
              <w:rPr>
                <w:b w:val="false"/>
                <w:bCs w:val="false"/>
                <w:color w:val="4A4A4A"/>
                <w:sz w:val="20"/>
                <w:szCs w:val="20"/>
              </w:rPr>
              <w:t xml:space="preserve">mTLS between all Kubernetes services via Istio service mesh. All pod-to-pod traffic encrypted.</w:t>
            </w:r>
          </w:p>
        </w:tc>
      </w:tr>
      <w:tr>
        <w:tc>
          <w:tcPr>
            <w:tcW w:type="dxa" w:w="4500"/>
            <w:shd w:fill="FFFFFF" w:val="clear"/>
            <w:vAlign w:val="center"/>
          </w:tcPr>
          <w:p>
            <w:pPr>
              <w:spacing w:after="60" w:before="60"/>
              <w:ind w:left="115"/>
            </w:pPr>
            <w:r>
              <w:rPr>
                <w:b w:val="false"/>
                <w:bCs w:val="false"/>
                <w:color w:val="4A4A4A"/>
                <w:sz w:val="20"/>
                <w:szCs w:val="20"/>
              </w:rPr>
              <w:t xml:space="preserve">At rest (PostgreSQL)</w:t>
            </w:r>
          </w:p>
        </w:tc>
        <w:tc>
          <w:tcPr>
            <w:tcW w:type="dxa" w:w="4500"/>
            <w:shd w:fill="FFFFFF" w:val="clear"/>
            <w:vAlign w:val="center"/>
          </w:tcPr>
          <w:p>
            <w:pPr>
              <w:spacing w:after="60" w:before="60"/>
              <w:ind w:left="115"/>
            </w:pPr>
            <w:r>
              <w:rPr>
                <w:b w:val="false"/>
                <w:bCs w:val="false"/>
                <w:color w:val="4A4A4A"/>
                <w:sz w:val="20"/>
                <w:szCs w:val="20"/>
              </w:rPr>
              <w:t xml:space="preserve">AWS RDS encryption with dedicated KMS key (aws/rds). Backups encrypted with same key.</w:t>
            </w:r>
          </w:p>
        </w:tc>
      </w:tr>
      <w:tr>
        <w:tc>
          <w:tcPr>
            <w:tcW w:type="dxa" w:w="4500"/>
            <w:shd w:fill="F9FAFB" w:val="clear"/>
            <w:vAlign w:val="center"/>
          </w:tcPr>
          <w:p>
            <w:pPr>
              <w:spacing w:after="60" w:before="60"/>
              <w:ind w:left="115"/>
            </w:pPr>
            <w:r>
              <w:rPr>
                <w:b w:val="false"/>
                <w:bCs w:val="false"/>
                <w:color w:val="4A4A4A"/>
                <w:sz w:val="20"/>
                <w:szCs w:val="20"/>
              </w:rPr>
              <w:t xml:space="preserve">At rest (Neo4j)</w:t>
            </w:r>
          </w:p>
        </w:tc>
        <w:tc>
          <w:tcPr>
            <w:tcW w:type="dxa" w:w="4500"/>
            <w:shd w:fill="F9FAFB" w:val="clear"/>
            <w:vAlign w:val="center"/>
          </w:tcPr>
          <w:p>
            <w:pPr>
              <w:spacing w:after="60" w:before="60"/>
              <w:ind w:left="115"/>
            </w:pPr>
            <w:r>
              <w:rPr>
                <w:b w:val="false"/>
                <w:bCs w:val="false"/>
                <w:color w:val="4A4A4A"/>
                <w:sz w:val="20"/>
                <w:szCs w:val="20"/>
              </w:rPr>
              <w:t xml:space="preserve">Volume encryption with AWS EBS KMS. Neo4j native encryption enabled for on-disk store.</w:t>
            </w:r>
          </w:p>
        </w:tc>
      </w:tr>
      <w:tr>
        <w:tc>
          <w:tcPr>
            <w:tcW w:type="dxa" w:w="4500"/>
            <w:shd w:fill="FFFFFF" w:val="clear"/>
            <w:vAlign w:val="center"/>
          </w:tcPr>
          <w:p>
            <w:pPr>
              <w:spacing w:after="60" w:before="60"/>
              <w:ind w:left="115"/>
            </w:pPr>
            <w:r>
              <w:rPr>
                <w:b w:val="false"/>
                <w:bCs w:val="false"/>
                <w:color w:val="4A4A4A"/>
                <w:sz w:val="20"/>
                <w:szCs w:val="20"/>
              </w:rPr>
              <w:t xml:space="preserve">At rest (Redis)</w:t>
            </w:r>
          </w:p>
        </w:tc>
        <w:tc>
          <w:tcPr>
            <w:tcW w:type="dxa" w:w="4500"/>
            <w:shd w:fill="FFFFFF" w:val="clear"/>
            <w:vAlign w:val="center"/>
          </w:tcPr>
          <w:p>
            <w:pPr>
              <w:spacing w:after="60" w:before="60"/>
              <w:ind w:left="115"/>
            </w:pPr>
            <w:r>
              <w:rPr>
                <w:b w:val="false"/>
                <w:bCs w:val="false"/>
                <w:color w:val="4A4A4A"/>
                <w:sz w:val="20"/>
                <w:szCs w:val="20"/>
              </w:rPr>
              <w:t xml:space="preserve">AWS ElastiCache encryption at rest enabled. TLS in-transit encryption between clients and Redis.</w:t>
            </w:r>
          </w:p>
        </w:tc>
      </w:tr>
      <w:tr>
        <w:tc>
          <w:tcPr>
            <w:tcW w:type="dxa" w:w="4500"/>
            <w:shd w:fill="F9FAFB" w:val="clear"/>
            <w:vAlign w:val="center"/>
          </w:tcPr>
          <w:p>
            <w:pPr>
              <w:spacing w:after="60" w:before="60"/>
              <w:ind w:left="115"/>
            </w:pPr>
            <w:r>
              <w:rPr>
                <w:b w:val="false"/>
                <w:bCs w:val="false"/>
                <w:color w:val="4A4A4A"/>
                <w:sz w:val="20"/>
                <w:szCs w:val="20"/>
              </w:rPr>
              <w:t xml:space="preserve">At rest (S3)</w:t>
            </w:r>
          </w:p>
        </w:tc>
        <w:tc>
          <w:tcPr>
            <w:tcW w:type="dxa" w:w="4500"/>
            <w:shd w:fill="F9FAFB" w:val="clear"/>
            <w:vAlign w:val="center"/>
          </w:tcPr>
          <w:p>
            <w:pPr>
              <w:spacing w:after="60" w:before="60"/>
              <w:ind w:left="115"/>
            </w:pPr>
            <w:r>
              <w:rPr>
                <w:b w:val="false"/>
                <w:bCs w:val="false"/>
                <w:color w:val="4A4A4A"/>
                <w:sz w:val="20"/>
                <w:szCs w:val="20"/>
              </w:rPr>
              <w:t xml:space="preserve">SSE-KMS on all buckets with dedicated per-bucket KMS keys. S3 Block Public Access enforced.</w:t>
            </w:r>
          </w:p>
        </w:tc>
      </w:tr>
      <w:tr>
        <w:tc>
          <w:tcPr>
            <w:tcW w:type="dxa" w:w="4500"/>
            <w:shd w:fill="FFFFFF" w:val="clear"/>
            <w:vAlign w:val="center"/>
          </w:tcPr>
          <w:p>
            <w:pPr>
              <w:spacing w:after="60" w:before="60"/>
              <w:ind w:left="115"/>
            </w:pPr>
            <w:r>
              <w:rPr>
                <w:b w:val="false"/>
                <w:bCs w:val="false"/>
                <w:color w:val="4A4A4A"/>
                <w:sz w:val="20"/>
                <w:szCs w:val="20"/>
              </w:rPr>
              <w:t xml:space="preserve">Student PII</w:t>
            </w:r>
          </w:p>
        </w:tc>
        <w:tc>
          <w:tcPr>
            <w:tcW w:type="dxa" w:w="4500"/>
            <w:shd w:fill="FFFFFF" w:val="clear"/>
            <w:vAlign w:val="center"/>
          </w:tcPr>
          <w:p>
            <w:pPr>
              <w:spacing w:after="60" w:before="60"/>
              <w:ind w:left="115"/>
            </w:pPr>
            <w:r>
              <w:rPr>
                <w:b w:val="false"/>
                <w:bCs w:val="false"/>
                <w:color w:val="4A4A4A"/>
                <w:sz w:val="20"/>
                <w:szCs w:val="20"/>
              </w:rPr>
              <w:t xml:space="preserve">Sensitive fields (student name, parent contact) additionally encrypted at application layer with AES-256-GCM before storage. Key stored in Vault.</w:t>
            </w:r>
          </w:p>
        </w:tc>
      </w:tr>
      <w:tr>
        <w:tc>
          <w:tcPr>
            <w:tcW w:type="dxa" w:w="4500"/>
            <w:shd w:fill="F9FAFB" w:val="clear"/>
            <w:vAlign w:val="center"/>
          </w:tcPr>
          <w:p>
            <w:pPr>
              <w:spacing w:after="60" w:before="60"/>
              <w:ind w:left="115"/>
            </w:pPr>
            <w:r>
              <w:rPr>
                <w:b w:val="false"/>
                <w:bCs w:val="false"/>
                <w:color w:val="4A4A4A"/>
                <w:sz w:val="20"/>
                <w:szCs w:val="20"/>
              </w:rPr>
              <w:t xml:space="preserve">School Box storage</w:t>
            </w:r>
          </w:p>
        </w:tc>
        <w:tc>
          <w:tcPr>
            <w:tcW w:type="dxa" w:w="4500"/>
            <w:shd w:fill="F9FAFB" w:val="clear"/>
            <w:vAlign w:val="center"/>
          </w:tcPr>
          <w:p>
            <w:pPr>
              <w:spacing w:after="60" w:before="60"/>
              <w:ind w:left="115"/>
            </w:pPr>
            <w:r>
              <w:rPr>
                <w:b w:val="false"/>
                <w:bCs w:val="false"/>
                <w:color w:val="4A4A4A"/>
                <w:sz w:val="20"/>
                <w:szCs w:val="20"/>
              </w:rPr>
              <w:t xml:space="preserve">LUKS full-disk encryption on School Box NVMe. Unlock key stored in Vault, fetched on boot over VPN.</w:t>
            </w:r>
          </w:p>
        </w:tc>
      </w:tr>
    </w:tbl>
    <w:p>
      <w:pPr>
        <w:pStyle w:val="Heading2"/>
        <w:spacing w:after="120" w:before="320"/>
      </w:pPr>
      <w:r>
        <w:t xml:space="preserve">9.4 Secrets Management — HashiCorp Vault</w:t>
      </w:r>
    </w:p>
    <w:p>
      <w:pPr>
        <w:spacing w:after="60" w:before="60"/>
        <w:ind w:left="0"/>
      </w:pPr>
      <w:r>
        <w:rPr>
          <w:color w:val="4A4A4A"/>
          <w:sz w:val="22"/>
          <w:szCs w:val="22"/>
        </w:rPr>
        <w:t xml:space="preserve">No secret (database password, API key, private key) is stored in environment variables, Kubernetes Secrets, or source code. All secrets are stored in HashiCorp Vault and injected via the Vault Agent sidecar pattern:</w:t>
      </w:r>
    </w:p>
    <w:p>
      <w:pPr>
        <w:pStyle w:val="ListParagraph"/>
        <w:numPr>
          <w:ilvl w:val="0"/>
          <w:numId w:val="2"/>
        </w:numPr>
        <w:spacing w:after="40" w:before="40"/>
      </w:pPr>
      <w:r>
        <w:rPr>
          <w:color w:val="4A4A4A"/>
          <w:sz w:val="21"/>
          <w:szCs w:val="21"/>
        </w:rPr>
        <w:t xml:space="preserve">Each Kubernetes service account has a Vault policy granting read access to only its required secrets.</w:t>
      </w:r>
    </w:p>
    <w:p>
      <w:pPr>
        <w:pStyle w:val="ListParagraph"/>
        <w:numPr>
          <w:ilvl w:val="0"/>
          <w:numId w:val="2"/>
        </w:numPr>
        <w:spacing w:after="40" w:before="40"/>
      </w:pPr>
      <w:r>
        <w:rPr>
          <w:color w:val="4A4A4A"/>
          <w:sz w:val="21"/>
          <w:szCs w:val="21"/>
        </w:rPr>
        <w:t xml:space="preserve">Vault Agent runs as a sidecar, authenticates via Kubernetes Service Account token, and writes secrets to a tmpfs volume mounted in the application container.</w:t>
      </w:r>
    </w:p>
    <w:p>
      <w:pPr>
        <w:pStyle w:val="ListParagraph"/>
        <w:numPr>
          <w:ilvl w:val="0"/>
          <w:numId w:val="2"/>
        </w:numPr>
        <w:spacing w:after="40" w:before="40"/>
      </w:pPr>
      <w:r>
        <w:rPr>
          <w:color w:val="4A4A4A"/>
          <w:sz w:val="21"/>
          <w:szCs w:val="21"/>
        </w:rPr>
        <w:t xml:space="preserve">Database passwords are dynamic secrets: Vault generates a unique PostgreSQL role for each pod on startup, rotates it every hour. A compromised pod's credentials expire quickly.</w:t>
      </w:r>
    </w:p>
    <w:p>
      <w:pPr>
        <w:pStyle w:val="ListParagraph"/>
        <w:numPr>
          <w:ilvl w:val="0"/>
          <w:numId w:val="2"/>
        </w:numPr>
        <w:spacing w:after="40" w:before="40"/>
      </w:pPr>
      <w:r>
        <w:rPr>
          <w:color w:val="4A4A4A"/>
          <w:sz w:val="21"/>
          <w:szCs w:val="21"/>
        </w:rPr>
        <w:t xml:space="preserve">Vault audit log captures every secret access — stored in S3 with Object Lock (immutable).</w:t>
      </w:r>
    </w:p>
    <w:p>
      <w:pPr>
        <w:pStyle w:val="Heading2"/>
        <w:spacing w:after="120" w:before="320"/>
      </w:pPr>
      <w:r>
        <w:t xml:space="preserve">9.5 Network Security</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Control</w:t>
            </w:r>
          </w:p>
        </w:tc>
        <w:tc>
          <w:tcPr>
            <w:tcW w:type="dxa" w:w="4500"/>
            <w:shd w:fill="1A4A7A" w:val="clear"/>
            <w:vAlign w:val="center"/>
          </w:tcPr>
          <w:p>
            <w:pPr>
              <w:spacing w:after="60" w:before="60"/>
              <w:ind w:left="115"/>
            </w:pPr>
            <w:r>
              <w:rPr>
                <w:b/>
                <w:bCs/>
                <w:color w:val="FFFFFF"/>
                <w:sz w:val="20"/>
                <w:szCs w:val="20"/>
              </w:rPr>
              <w:t xml:space="preserve">Implementation</w:t>
            </w:r>
          </w:p>
        </w:tc>
      </w:tr>
      <w:tr>
        <w:tc>
          <w:tcPr>
            <w:tcW w:type="dxa" w:w="4500"/>
            <w:shd w:fill="FFFFFF" w:val="clear"/>
            <w:vAlign w:val="center"/>
          </w:tcPr>
          <w:p>
            <w:pPr>
              <w:spacing w:after="60" w:before="60"/>
              <w:ind w:left="115"/>
            </w:pPr>
            <w:r>
              <w:rPr>
                <w:b w:val="false"/>
                <w:bCs w:val="false"/>
                <w:color w:val="4A4A4A"/>
                <w:sz w:val="20"/>
                <w:szCs w:val="20"/>
              </w:rPr>
              <w:t xml:space="preserve">AWS VPC</w:t>
            </w:r>
          </w:p>
        </w:tc>
        <w:tc>
          <w:tcPr>
            <w:tcW w:type="dxa" w:w="4500"/>
            <w:shd w:fill="FFFFFF" w:val="clear"/>
            <w:vAlign w:val="center"/>
          </w:tcPr>
          <w:p>
            <w:pPr>
              <w:spacing w:after="60" w:before="60"/>
              <w:ind w:left="115"/>
            </w:pPr>
            <w:r>
              <w:rPr>
                <w:b w:val="false"/>
                <w:bCs w:val="false"/>
                <w:color w:val="4A4A4A"/>
                <w:sz w:val="20"/>
                <w:szCs w:val="20"/>
              </w:rPr>
              <w:t xml:space="preserve">All resources in private subnets. No public IPs except Kong ALB and School Box VPN endpoint.</w:t>
            </w:r>
          </w:p>
        </w:tc>
      </w:tr>
      <w:tr>
        <w:tc>
          <w:tcPr>
            <w:tcW w:type="dxa" w:w="4500"/>
            <w:shd w:fill="F9FAFB" w:val="clear"/>
            <w:vAlign w:val="center"/>
          </w:tcPr>
          <w:p>
            <w:pPr>
              <w:spacing w:after="60" w:before="60"/>
              <w:ind w:left="115"/>
            </w:pPr>
            <w:r>
              <w:rPr>
                <w:b w:val="false"/>
                <w:bCs w:val="false"/>
                <w:color w:val="4A4A4A"/>
                <w:sz w:val="20"/>
                <w:szCs w:val="20"/>
              </w:rPr>
              <w:t xml:space="preserve">Security Groups</w:t>
            </w:r>
          </w:p>
        </w:tc>
        <w:tc>
          <w:tcPr>
            <w:tcW w:type="dxa" w:w="4500"/>
            <w:shd w:fill="F9FAFB" w:val="clear"/>
            <w:vAlign w:val="center"/>
          </w:tcPr>
          <w:p>
            <w:pPr>
              <w:spacing w:after="60" w:before="60"/>
              <w:ind w:left="115"/>
            </w:pPr>
            <w:r>
              <w:rPr>
                <w:b w:val="false"/>
                <w:bCs w:val="false"/>
                <w:color w:val="4A4A4A"/>
                <w:sz w:val="20"/>
                <w:szCs w:val="20"/>
              </w:rPr>
              <w:t xml:space="preserve">Least-privilege: only required ports open. DB security groups accept only from API security group.</w:t>
            </w:r>
          </w:p>
        </w:tc>
      </w:tr>
      <w:tr>
        <w:tc>
          <w:tcPr>
            <w:tcW w:type="dxa" w:w="4500"/>
            <w:shd w:fill="FFFFFF" w:val="clear"/>
            <w:vAlign w:val="center"/>
          </w:tcPr>
          <w:p>
            <w:pPr>
              <w:spacing w:after="60" w:before="60"/>
              <w:ind w:left="115"/>
            </w:pPr>
            <w:r>
              <w:rPr>
                <w:b w:val="false"/>
                <w:bCs w:val="false"/>
                <w:color w:val="4A4A4A"/>
                <w:sz w:val="20"/>
                <w:szCs w:val="20"/>
              </w:rPr>
              <w:t xml:space="preserve">Network Policies</w:t>
            </w:r>
          </w:p>
        </w:tc>
        <w:tc>
          <w:tcPr>
            <w:tcW w:type="dxa" w:w="4500"/>
            <w:shd w:fill="FFFFFF" w:val="clear"/>
            <w:vAlign w:val="center"/>
          </w:tcPr>
          <w:p>
            <w:pPr>
              <w:spacing w:after="60" w:before="60"/>
              <w:ind w:left="115"/>
            </w:pPr>
            <w:r>
              <w:rPr>
                <w:b w:val="false"/>
                <w:bCs w:val="false"/>
                <w:color w:val="4A4A4A"/>
                <w:sz w:val="20"/>
                <w:szCs w:val="20"/>
              </w:rPr>
              <w:t xml:space="preserve">Kubernetes NetworkPolicy: each pod only communicates with explicitly allowed pods. Default deny.</w:t>
            </w:r>
          </w:p>
        </w:tc>
      </w:tr>
      <w:tr>
        <w:tc>
          <w:tcPr>
            <w:tcW w:type="dxa" w:w="4500"/>
            <w:shd w:fill="F9FAFB" w:val="clear"/>
            <w:vAlign w:val="center"/>
          </w:tcPr>
          <w:p>
            <w:pPr>
              <w:spacing w:after="60" w:before="60"/>
              <w:ind w:left="115"/>
            </w:pPr>
            <w:r>
              <w:rPr>
                <w:b w:val="false"/>
                <w:bCs w:val="false"/>
                <w:color w:val="4A4A4A"/>
                <w:sz w:val="20"/>
                <w:szCs w:val="20"/>
              </w:rPr>
              <w:t xml:space="preserve">AWS WAF</w:t>
            </w:r>
          </w:p>
        </w:tc>
        <w:tc>
          <w:tcPr>
            <w:tcW w:type="dxa" w:w="4500"/>
            <w:shd w:fill="F9FAFB" w:val="clear"/>
            <w:vAlign w:val="center"/>
          </w:tcPr>
          <w:p>
            <w:pPr>
              <w:spacing w:after="60" w:before="60"/>
              <w:ind w:left="115"/>
            </w:pPr>
            <w:r>
              <w:rPr>
                <w:b w:val="false"/>
                <w:bCs w:val="false"/>
                <w:color w:val="4A4A4A"/>
                <w:sz w:val="20"/>
                <w:szCs w:val="20"/>
              </w:rPr>
              <w:t xml:space="preserve">Attached to Kong ALB: SQL injection, XSS, rate-based rules, AWS Managed Rules (Core Rule Set + Known Bad Inputs).</w:t>
            </w:r>
          </w:p>
        </w:tc>
      </w:tr>
      <w:tr>
        <w:tc>
          <w:tcPr>
            <w:tcW w:type="dxa" w:w="4500"/>
            <w:shd w:fill="FFFFFF" w:val="clear"/>
            <w:vAlign w:val="center"/>
          </w:tcPr>
          <w:p>
            <w:pPr>
              <w:spacing w:after="60" w:before="60"/>
              <w:ind w:left="115"/>
            </w:pPr>
            <w:r>
              <w:rPr>
                <w:b w:val="false"/>
                <w:bCs w:val="false"/>
                <w:color w:val="4A4A4A"/>
                <w:sz w:val="20"/>
                <w:szCs w:val="20"/>
              </w:rPr>
              <w:t xml:space="preserve">DDoS protection</w:t>
            </w:r>
          </w:p>
        </w:tc>
        <w:tc>
          <w:tcPr>
            <w:tcW w:type="dxa" w:w="4500"/>
            <w:shd w:fill="FFFFFF" w:val="clear"/>
            <w:vAlign w:val="center"/>
          </w:tcPr>
          <w:p>
            <w:pPr>
              <w:spacing w:after="60" w:before="60"/>
              <w:ind w:left="115"/>
            </w:pPr>
            <w:r>
              <w:rPr>
                <w:b w:val="false"/>
                <w:bCs w:val="false"/>
                <w:color w:val="4A4A4A"/>
                <w:sz w:val="20"/>
                <w:szCs w:val="20"/>
              </w:rPr>
              <w:t xml:space="preserve">AWS Shield Standard (included). Shield Advanced for Ministry routes.</w:t>
            </w:r>
          </w:p>
        </w:tc>
      </w:tr>
      <w:tr>
        <w:tc>
          <w:tcPr>
            <w:tcW w:type="dxa" w:w="4500"/>
            <w:shd w:fill="F9FAFB" w:val="clear"/>
            <w:vAlign w:val="center"/>
          </w:tcPr>
          <w:p>
            <w:pPr>
              <w:spacing w:after="60" w:before="60"/>
              <w:ind w:left="115"/>
            </w:pPr>
            <w:r>
              <w:rPr>
                <w:b w:val="false"/>
                <w:bCs w:val="false"/>
                <w:color w:val="4A4A4A"/>
                <w:sz w:val="20"/>
                <w:szCs w:val="20"/>
              </w:rPr>
              <w:t xml:space="preserve">School Box VPN</w:t>
            </w:r>
          </w:p>
        </w:tc>
        <w:tc>
          <w:tcPr>
            <w:tcW w:type="dxa" w:w="4500"/>
            <w:shd w:fill="F9FAFB" w:val="clear"/>
            <w:vAlign w:val="center"/>
          </w:tcPr>
          <w:p>
            <w:pPr>
              <w:spacing w:after="60" w:before="60"/>
              <w:ind w:left="115"/>
            </w:pPr>
            <w:r>
              <w:rPr>
                <w:b w:val="false"/>
                <w:bCs w:val="false"/>
                <w:color w:val="4A4A4A"/>
                <w:sz w:val="20"/>
                <w:szCs w:val="20"/>
              </w:rPr>
              <w:t xml:space="preserve">WireGuard VPN between School Box and cloud for sync operations. Only sync traffic allowed over VPN.</w:t>
            </w:r>
          </w:p>
        </w:tc>
      </w:tr>
      <w:tr>
        <w:tc>
          <w:tcPr>
            <w:tcW w:type="dxa" w:w="4500"/>
            <w:shd w:fill="FFFFFF" w:val="clear"/>
            <w:vAlign w:val="center"/>
          </w:tcPr>
          <w:p>
            <w:pPr>
              <w:spacing w:after="60" w:before="60"/>
              <w:ind w:left="115"/>
            </w:pPr>
            <w:r>
              <w:rPr>
                <w:b w:val="false"/>
                <w:bCs w:val="false"/>
                <w:color w:val="4A4A4A"/>
                <w:sz w:val="20"/>
                <w:szCs w:val="20"/>
              </w:rPr>
              <w:t xml:space="preserve">Bastion access</w:t>
            </w:r>
          </w:p>
        </w:tc>
        <w:tc>
          <w:tcPr>
            <w:tcW w:type="dxa" w:w="4500"/>
            <w:shd w:fill="FFFFFF" w:val="clear"/>
            <w:vAlign w:val="center"/>
          </w:tcPr>
          <w:p>
            <w:pPr>
              <w:spacing w:after="60" w:before="60"/>
              <w:ind w:left="115"/>
            </w:pPr>
            <w:r>
              <w:rPr>
                <w:b w:val="false"/>
                <w:bCs w:val="false"/>
                <w:color w:val="4A4A4A"/>
                <w:sz w:val="20"/>
                <w:szCs w:val="20"/>
              </w:rPr>
              <w:t xml:space="preserve">No SSH directly to any node. AWS SSM Session Manager for emergency access. All sessions logged to CloudWatch.</w:t>
            </w:r>
          </w:p>
        </w:tc>
      </w:tr>
    </w:tbl>
    <w:p>
      <w:pPr>
        <w:pStyle w:val="Heading2"/>
        <w:spacing w:after="120" w:before="320"/>
      </w:pPr>
      <w:r>
        <w:t xml:space="preserve">9.6 Input Validation and Injection Prevention</w:t>
      </w:r>
    </w:p>
    <w:p>
      <w:pPr>
        <w:pStyle w:val="ListParagraph"/>
        <w:numPr>
          <w:ilvl w:val="0"/>
          <w:numId w:val="2"/>
        </w:numPr>
        <w:spacing w:after="40" w:before="40"/>
      </w:pPr>
      <w:r>
        <w:rPr>
          <w:color w:val="4A4A4A"/>
          <w:sz w:val="21"/>
          <w:szCs w:val="21"/>
        </w:rPr>
        <w:t xml:space="preserve">All API inputs validated with go-playground/validator (Go) and Pydantic v2 (Python) before any database operation.</w:t>
      </w:r>
    </w:p>
    <w:p>
      <w:pPr>
        <w:pStyle w:val="ListParagraph"/>
        <w:numPr>
          <w:ilvl w:val="0"/>
          <w:numId w:val="2"/>
        </w:numPr>
        <w:spacing w:after="40" w:before="40"/>
      </w:pPr>
      <w:r>
        <w:rPr>
          <w:color w:val="4A4A4A"/>
          <w:sz w:val="21"/>
          <w:szCs w:val="21"/>
        </w:rPr>
        <w:t xml:space="preserve">PostgreSQL: all queries use pgx prepared statements with parameter binding. No string interpolation in SQL ever.</w:t>
      </w:r>
    </w:p>
    <w:p>
      <w:pPr>
        <w:pStyle w:val="ListParagraph"/>
        <w:numPr>
          <w:ilvl w:val="0"/>
          <w:numId w:val="2"/>
        </w:numPr>
        <w:spacing w:after="40" w:before="40"/>
      </w:pPr>
      <w:r>
        <w:rPr>
          <w:color w:val="4A4A4A"/>
          <w:sz w:val="21"/>
          <w:szCs w:val="21"/>
        </w:rPr>
        <w:t xml:space="preserve">Neo4j: all Cypher queries use parameterized queries via the Go driver. No string-built Cypher.</w:t>
      </w:r>
    </w:p>
    <w:p>
      <w:pPr>
        <w:pStyle w:val="ListParagraph"/>
        <w:numPr>
          <w:ilvl w:val="0"/>
          <w:numId w:val="2"/>
        </w:numPr>
        <w:spacing w:after="40" w:before="40"/>
      </w:pPr>
      <w:r>
        <w:rPr>
          <w:color w:val="4A4A4A"/>
          <w:sz w:val="21"/>
          <w:szCs w:val="21"/>
        </w:rPr>
        <w:t xml:space="preserve">File uploads: MIME type validated server-side (magic bytes), not by Content-Type header. Max file sizes enforced at Kong.</w:t>
      </w:r>
    </w:p>
    <w:p>
      <w:pPr>
        <w:pStyle w:val="ListParagraph"/>
        <w:numPr>
          <w:ilvl w:val="0"/>
          <w:numId w:val="2"/>
        </w:numPr>
        <w:spacing w:after="40" w:before="40"/>
      </w:pPr>
      <w:r>
        <w:rPr>
          <w:color w:val="4A4A4A"/>
          <w:sz w:val="21"/>
          <w:szCs w:val="21"/>
        </w:rPr>
        <w:t xml:space="preserve">Exam documents scanned with ClamAV before processing. Malware-infected uploads rejected and quarantined in S3.</w:t>
      </w:r>
    </w:p>
    <w:p>
      <w:pPr>
        <w:pStyle w:val="Heading2"/>
        <w:spacing w:after="120" w:before="320"/>
      </w:pPr>
      <w:r>
        <w:t xml:space="preserve">9.7 Audit Logging</w:t>
      </w:r>
    </w:p>
    <w:p>
      <w:pPr>
        <w:spacing w:after="60" w:before="60"/>
        <w:ind w:left="0"/>
      </w:pPr>
      <w:r>
        <w:rPr>
          <w:color w:val="4A4A4A"/>
          <w:sz w:val="22"/>
          <w:szCs w:val="22"/>
        </w:rPr>
        <w:t xml:space="preserve">Every data access and mutation is logged. Audit logs are immutable (S3 Object Lock, Governance mode, 7-year retention) and cannot be deleted or modified by application code.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Log Type</w:t>
            </w:r>
          </w:p>
        </w:tc>
        <w:tc>
          <w:tcPr>
            <w:tcW w:type="dxa" w:w="4500"/>
            <w:shd w:fill="1A4A7A" w:val="clear"/>
            <w:vAlign w:val="center"/>
          </w:tcPr>
          <w:p>
            <w:pPr>
              <w:spacing w:after="60" w:before="60"/>
              <w:ind w:left="115"/>
            </w:pPr>
            <w:r>
              <w:rPr>
                <w:b/>
                <w:bCs/>
                <w:color w:val="FFFFFF"/>
                <w:sz w:val="20"/>
                <w:szCs w:val="20"/>
              </w:rPr>
              <w:t xml:space="preserve">Contents</w:t>
            </w:r>
          </w:p>
        </w:tc>
      </w:tr>
      <w:tr>
        <w:tc>
          <w:tcPr>
            <w:tcW w:type="dxa" w:w="4500"/>
            <w:shd w:fill="FFFFFF" w:val="clear"/>
            <w:vAlign w:val="center"/>
          </w:tcPr>
          <w:p>
            <w:pPr>
              <w:spacing w:after="60" w:before="60"/>
              <w:ind w:left="115"/>
            </w:pPr>
            <w:r>
              <w:rPr>
                <w:b w:val="false"/>
                <w:bCs w:val="false"/>
                <w:color w:val="4A4A4A"/>
                <w:sz w:val="20"/>
                <w:szCs w:val="20"/>
              </w:rPr>
              <w:t xml:space="preserve">API request log</w:t>
            </w:r>
          </w:p>
        </w:tc>
        <w:tc>
          <w:tcPr>
            <w:tcW w:type="dxa" w:w="4500"/>
            <w:shd w:fill="FFFFFF" w:val="clear"/>
            <w:vAlign w:val="center"/>
          </w:tcPr>
          <w:p>
            <w:pPr>
              <w:spacing w:after="60" w:before="60"/>
              <w:ind w:left="115"/>
            </w:pPr>
            <w:r>
              <w:rPr>
                <w:b w:val="false"/>
                <w:bCs w:val="false"/>
                <w:color w:val="4A4A4A"/>
                <w:sz w:val="20"/>
                <w:szCs w:val="20"/>
              </w:rPr>
              <w:t xml:space="preserve">Kong logs: timestamp, user ID, role, endpoint, HTTP status, response time. PII fields redacted.</w:t>
            </w:r>
          </w:p>
        </w:tc>
      </w:tr>
      <w:tr>
        <w:tc>
          <w:tcPr>
            <w:tcW w:type="dxa" w:w="4500"/>
            <w:shd w:fill="F9FAFB" w:val="clear"/>
            <w:vAlign w:val="center"/>
          </w:tcPr>
          <w:p>
            <w:pPr>
              <w:spacing w:after="60" w:before="60"/>
              <w:ind w:left="115"/>
            </w:pPr>
            <w:r>
              <w:rPr>
                <w:b w:val="false"/>
                <w:bCs w:val="false"/>
                <w:color w:val="4A4A4A"/>
                <w:sz w:val="20"/>
                <w:szCs w:val="20"/>
              </w:rPr>
              <w:t xml:space="preserve">Data change log</w:t>
            </w:r>
          </w:p>
        </w:tc>
        <w:tc>
          <w:tcPr>
            <w:tcW w:type="dxa" w:w="4500"/>
            <w:shd w:fill="F9FAFB" w:val="clear"/>
            <w:vAlign w:val="center"/>
          </w:tcPr>
          <w:p>
            <w:pPr>
              <w:spacing w:after="60" w:before="60"/>
              <w:ind w:left="115"/>
            </w:pPr>
            <w:r>
              <w:rPr>
                <w:b w:val="false"/>
                <w:bCs w:val="false"/>
                <w:color w:val="4A4A4A"/>
                <w:sz w:val="20"/>
                <w:szCs w:val="20"/>
              </w:rPr>
              <w:t xml:space="preserve">PostgreSQL trigger on all student and grade tables: old values, new values, user ID, timestamp.</w:t>
            </w:r>
          </w:p>
        </w:tc>
      </w:tr>
      <w:tr>
        <w:tc>
          <w:tcPr>
            <w:tcW w:type="dxa" w:w="4500"/>
            <w:shd w:fill="FFFFFF" w:val="clear"/>
            <w:vAlign w:val="center"/>
          </w:tcPr>
          <w:p>
            <w:pPr>
              <w:spacing w:after="60" w:before="60"/>
              <w:ind w:left="115"/>
            </w:pPr>
            <w:r>
              <w:rPr>
                <w:b w:val="false"/>
                <w:bCs w:val="false"/>
                <w:color w:val="4A4A4A"/>
                <w:sz w:val="20"/>
                <w:szCs w:val="20"/>
              </w:rPr>
              <w:t xml:space="preserve">AI request log</w:t>
            </w:r>
          </w:p>
        </w:tc>
        <w:tc>
          <w:tcPr>
            <w:tcW w:type="dxa" w:w="4500"/>
            <w:shd w:fill="FFFFFF" w:val="clear"/>
            <w:vAlign w:val="center"/>
          </w:tcPr>
          <w:p>
            <w:pPr>
              <w:spacing w:after="60" w:before="60"/>
              <w:ind w:left="115"/>
            </w:pPr>
            <w:r>
              <w:rPr>
                <w:b w:val="false"/>
                <w:bCs w:val="false"/>
                <w:color w:val="4A4A4A"/>
                <w:sz w:val="20"/>
                <w:szCs w:val="20"/>
              </w:rPr>
              <w:t xml:space="preserve">Every LLM call logged: user ID, model used, prompt hash (not content), response time, tokens used.</w:t>
            </w:r>
          </w:p>
        </w:tc>
      </w:tr>
      <w:tr>
        <w:tc>
          <w:tcPr>
            <w:tcW w:type="dxa" w:w="4500"/>
            <w:shd w:fill="F9FAFB" w:val="clear"/>
            <w:vAlign w:val="center"/>
          </w:tcPr>
          <w:p>
            <w:pPr>
              <w:spacing w:after="60" w:before="60"/>
              <w:ind w:left="115"/>
            </w:pPr>
            <w:r>
              <w:rPr>
                <w:b w:val="false"/>
                <w:bCs w:val="false"/>
                <w:color w:val="4A4A4A"/>
                <w:sz w:val="20"/>
                <w:szCs w:val="20"/>
              </w:rPr>
              <w:t xml:space="preserve">Auth events</w:t>
            </w:r>
          </w:p>
        </w:tc>
        <w:tc>
          <w:tcPr>
            <w:tcW w:type="dxa" w:w="4500"/>
            <w:shd w:fill="F9FAFB" w:val="clear"/>
            <w:vAlign w:val="center"/>
          </w:tcPr>
          <w:p>
            <w:pPr>
              <w:spacing w:after="60" w:before="60"/>
              <w:ind w:left="115"/>
            </w:pPr>
            <w:r>
              <w:rPr>
                <w:b w:val="false"/>
                <w:bCs w:val="false"/>
                <w:color w:val="4A4A4A"/>
                <w:sz w:val="20"/>
                <w:szCs w:val="20"/>
              </w:rPr>
              <w:t xml:space="preserve">Login, logout, MFA success/failure, token refresh, permission denial — all logged.</w:t>
            </w:r>
          </w:p>
        </w:tc>
      </w:tr>
      <w:tr>
        <w:tc>
          <w:tcPr>
            <w:tcW w:type="dxa" w:w="4500"/>
            <w:shd w:fill="FFFFFF" w:val="clear"/>
            <w:vAlign w:val="center"/>
          </w:tcPr>
          <w:p>
            <w:pPr>
              <w:spacing w:after="60" w:before="60"/>
              <w:ind w:left="115"/>
            </w:pPr>
            <w:r>
              <w:rPr>
                <w:b w:val="false"/>
                <w:bCs w:val="false"/>
                <w:color w:val="4A4A4A"/>
                <w:sz w:val="20"/>
                <w:szCs w:val="20"/>
              </w:rPr>
              <w:t xml:space="preserve">Vault audit</w:t>
            </w:r>
          </w:p>
        </w:tc>
        <w:tc>
          <w:tcPr>
            <w:tcW w:type="dxa" w:w="4500"/>
            <w:shd w:fill="FFFFFF" w:val="clear"/>
            <w:vAlign w:val="center"/>
          </w:tcPr>
          <w:p>
            <w:pPr>
              <w:spacing w:after="60" w:before="60"/>
              <w:ind w:left="115"/>
            </w:pPr>
            <w:r>
              <w:rPr>
                <w:b w:val="false"/>
                <w:bCs w:val="false"/>
                <w:color w:val="4A4A4A"/>
                <w:sz w:val="20"/>
                <w:szCs w:val="20"/>
              </w:rPr>
              <w:t xml:space="preserve">Every secret access: which service, which secret path, timestamp.</w:t>
            </w:r>
          </w:p>
        </w:tc>
      </w:tr>
      <w:tr>
        <w:tc>
          <w:tcPr>
            <w:tcW w:type="dxa" w:w="4500"/>
            <w:shd w:fill="F9FAFB" w:val="clear"/>
            <w:vAlign w:val="center"/>
          </w:tcPr>
          <w:p>
            <w:pPr>
              <w:spacing w:after="60" w:before="60"/>
              <w:ind w:left="115"/>
            </w:pPr>
            <w:r>
              <w:rPr>
                <w:b w:val="false"/>
                <w:bCs w:val="false"/>
                <w:color w:val="4A4A4A"/>
                <w:sz w:val="20"/>
                <w:szCs w:val="20"/>
              </w:rPr>
              <w:t xml:space="preserve">Schema changes</w:t>
            </w:r>
          </w:p>
        </w:tc>
        <w:tc>
          <w:tcPr>
            <w:tcW w:type="dxa" w:w="4500"/>
            <w:shd w:fill="F9FAFB" w:val="clear"/>
            <w:vAlign w:val="center"/>
          </w:tcPr>
          <w:p>
            <w:pPr>
              <w:spacing w:after="60" w:before="60"/>
              <w:ind w:left="115"/>
            </w:pPr>
            <w:r>
              <w:rPr>
                <w:b w:val="false"/>
                <w:bCs w:val="false"/>
                <w:color w:val="4A4A4A"/>
                <w:sz w:val="20"/>
                <w:szCs w:val="20"/>
              </w:rPr>
              <w:t xml:space="preserve">Flyway migration history — every database schema change recorded with author and timestamp.</w:t>
            </w:r>
          </w:p>
        </w:tc>
      </w:tr>
    </w:tbl>
    <w:p>
      <w:pPr>
        <w:pStyle w:val="Heading2"/>
        <w:spacing w:after="120" w:before="320"/>
      </w:pPr>
      <w:r>
        <w:t xml:space="preserve">9.8 Vulnerability Management</w:t>
      </w:r>
    </w:p>
    <w:p>
      <w:pPr>
        <w:pStyle w:val="ListParagraph"/>
        <w:numPr>
          <w:ilvl w:val="0"/>
          <w:numId w:val="2"/>
        </w:numPr>
        <w:spacing w:after="40" w:before="40"/>
      </w:pPr>
      <w:r>
        <w:rPr>
          <w:color w:val="4A4A4A"/>
          <w:sz w:val="21"/>
          <w:szCs w:val="21"/>
        </w:rPr>
        <w:t xml:space="preserve">Trivy runs on every Docker image build. Critical CVEs block deployment. High CVEs require tracking issue within 24 hours.</w:t>
      </w:r>
    </w:p>
    <w:p>
      <w:pPr>
        <w:pStyle w:val="ListParagraph"/>
        <w:numPr>
          <w:ilvl w:val="0"/>
          <w:numId w:val="2"/>
        </w:numPr>
        <w:spacing w:after="40" w:before="40"/>
      </w:pPr>
      <w:r>
        <w:rPr>
          <w:color w:val="4A4A4A"/>
          <w:sz w:val="21"/>
          <w:szCs w:val="21"/>
        </w:rPr>
        <w:t xml:space="preserve">govulncheck runs daily on all Go modules. Dependabot PRs for all dependency updates with automated merge on patch-level changes.</w:t>
      </w:r>
    </w:p>
    <w:p>
      <w:pPr>
        <w:pStyle w:val="ListParagraph"/>
        <w:numPr>
          <w:ilvl w:val="0"/>
          <w:numId w:val="2"/>
        </w:numPr>
        <w:spacing w:after="40" w:before="40"/>
      </w:pPr>
      <w:r>
        <w:rPr>
          <w:color w:val="4A4A4A"/>
          <w:sz w:val="21"/>
          <w:szCs w:val="21"/>
        </w:rPr>
        <w:t xml:space="preserve">Penetration test: annual third-party pentest + quarterly automated DAST (OWASP ZAP) against staging environment.</w:t>
      </w:r>
    </w:p>
    <w:p>
      <w:pPr>
        <w:pStyle w:val="ListParagraph"/>
        <w:numPr>
          <w:ilvl w:val="0"/>
          <w:numId w:val="2"/>
        </w:numPr>
        <w:spacing w:after="40" w:before="40"/>
      </w:pPr>
      <w:r>
        <w:rPr>
          <w:color w:val="4A4A4A"/>
          <w:sz w:val="21"/>
          <w:szCs w:val="21"/>
        </w:rPr>
        <w:t xml:space="preserve">Bug bounty program planned pre-national-launch: coordinated disclosure policy published, scope covering all EduGraph AI-hosted services.</w:t>
      </w:r>
    </w:p>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10 — Traffic Handling &amp; Scalability</w:t>
            </w:r>
          </w:p>
          <w:p>
            <w:pPr>
              <w:spacing w:after="80" w:before="40"/>
            </w:pPr>
            <w:r>
              <w:rPr>
                <w:i/>
                <w:iCs/>
                <w:color w:val="B3D4FF"/>
                <w:sz w:val="20"/>
                <w:szCs w:val="20"/>
              </w:rPr>
              <w:t xml:space="preserve">Load profiles, autoscaling, caching strategy, and failover</w:t>
            </w:r>
          </w:p>
        </w:tc>
      </w:tr>
    </w:tbl>
    <w:p>
      <w:pPr>
        <w:spacing w:after="60" w:before="60"/>
      </w:pPr>
    </w:p>
    <w:p>
      <w:pPr>
        <w:pStyle w:val="Heading2"/>
        <w:spacing w:after="120" w:before="320"/>
      </w:pPr>
      <w:r>
        <w:t xml:space="preserve">10.1 Expected Traffic Profile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Scenario</w:t>
            </w:r>
          </w:p>
        </w:tc>
        <w:tc>
          <w:tcPr>
            <w:tcW w:type="dxa" w:w="4500"/>
            <w:shd w:fill="1A4A7A" w:val="clear"/>
            <w:vAlign w:val="center"/>
          </w:tcPr>
          <w:p>
            <w:pPr>
              <w:spacing w:after="60" w:before="60"/>
              <w:ind w:left="115"/>
            </w:pPr>
            <w:r>
              <w:rPr>
                <w:b/>
                <w:bCs/>
                <w:color w:val="FFFFFF"/>
                <w:sz w:val="20"/>
                <w:szCs w:val="20"/>
              </w:rPr>
              <w:t xml:space="preserve">Expected Load</w:t>
            </w:r>
          </w:p>
        </w:tc>
      </w:tr>
      <w:tr>
        <w:tc>
          <w:tcPr>
            <w:tcW w:type="dxa" w:w="4500"/>
            <w:shd w:fill="FFFFFF" w:val="clear"/>
            <w:vAlign w:val="center"/>
          </w:tcPr>
          <w:p>
            <w:pPr>
              <w:spacing w:after="60" w:before="60"/>
              <w:ind w:left="115"/>
            </w:pPr>
            <w:r>
              <w:rPr>
                <w:b w:val="false"/>
                <w:bCs w:val="false"/>
                <w:color w:val="4A4A4A"/>
                <w:sz w:val="20"/>
                <w:szCs w:val="20"/>
              </w:rPr>
              <w:t xml:space="preserve">Baseline (off-peak)</w:t>
            </w:r>
          </w:p>
        </w:tc>
        <w:tc>
          <w:tcPr>
            <w:tcW w:type="dxa" w:w="4500"/>
            <w:shd w:fill="FFFFFF" w:val="clear"/>
            <w:vAlign w:val="center"/>
          </w:tcPr>
          <w:p>
            <w:pPr>
              <w:spacing w:after="60" w:before="60"/>
              <w:ind w:left="115"/>
            </w:pPr>
            <w:r>
              <w:rPr>
                <w:b w:val="false"/>
                <w:bCs w:val="false"/>
                <w:color w:val="4A4A4A"/>
                <w:sz w:val="20"/>
                <w:szCs w:val="20"/>
              </w:rPr>
              <w:t xml:space="preserve">~500 concurrent users — evening school staff, after-hours study</w:t>
            </w:r>
          </w:p>
        </w:tc>
      </w:tr>
      <w:tr>
        <w:tc>
          <w:tcPr>
            <w:tcW w:type="dxa" w:w="4500"/>
            <w:shd w:fill="F9FAFB" w:val="clear"/>
            <w:vAlign w:val="center"/>
          </w:tcPr>
          <w:p>
            <w:pPr>
              <w:spacing w:after="60" w:before="60"/>
              <w:ind w:left="115"/>
            </w:pPr>
            <w:r>
              <w:rPr>
                <w:b w:val="false"/>
                <w:bCs w:val="false"/>
                <w:color w:val="4A4A4A"/>
                <w:sz w:val="20"/>
                <w:szCs w:val="20"/>
              </w:rPr>
              <w:t xml:space="preserve">Peak (exam season)</w:t>
            </w:r>
          </w:p>
        </w:tc>
        <w:tc>
          <w:tcPr>
            <w:tcW w:type="dxa" w:w="4500"/>
            <w:shd w:fill="F9FAFB" w:val="clear"/>
            <w:vAlign w:val="center"/>
          </w:tcPr>
          <w:p>
            <w:pPr>
              <w:spacing w:after="60" w:before="60"/>
              <w:ind w:left="115"/>
            </w:pPr>
            <w:r>
              <w:rPr>
                <w:b w:val="false"/>
                <w:bCs w:val="false"/>
                <w:color w:val="4A4A4A"/>
                <w:sz w:val="20"/>
                <w:szCs w:val="20"/>
              </w:rPr>
              <w:t xml:space="preserve">~50,000 concurrent users — nationwide exam period</w:t>
            </w:r>
          </w:p>
        </w:tc>
      </w:tr>
      <w:tr>
        <w:tc>
          <w:tcPr>
            <w:tcW w:type="dxa" w:w="4500"/>
            <w:shd w:fill="FFFFFF" w:val="clear"/>
            <w:vAlign w:val="center"/>
          </w:tcPr>
          <w:p>
            <w:pPr>
              <w:spacing w:after="60" w:before="60"/>
              <w:ind w:left="115"/>
            </w:pPr>
            <w:r>
              <w:rPr>
                <w:b w:val="false"/>
                <w:bCs w:val="false"/>
                <w:color w:val="4A4A4A"/>
                <w:sz w:val="20"/>
                <w:szCs w:val="20"/>
              </w:rPr>
              <w:t xml:space="preserve">Spike (results day)</w:t>
            </w:r>
          </w:p>
        </w:tc>
        <w:tc>
          <w:tcPr>
            <w:tcW w:type="dxa" w:w="4500"/>
            <w:shd w:fill="FFFFFF" w:val="clear"/>
            <w:vAlign w:val="center"/>
          </w:tcPr>
          <w:p>
            <w:pPr>
              <w:spacing w:after="60" w:before="60"/>
              <w:ind w:left="115"/>
            </w:pPr>
            <w:r>
              <w:rPr>
                <w:b w:val="false"/>
                <w:bCs w:val="false"/>
                <w:color w:val="4A4A4A"/>
                <w:sz w:val="20"/>
                <w:szCs w:val="20"/>
              </w:rPr>
              <w:t xml:space="preserve">~200,000 concurrent users in first 30 minutes — students checking results</w:t>
            </w:r>
          </w:p>
        </w:tc>
      </w:tr>
      <w:tr>
        <w:tc>
          <w:tcPr>
            <w:tcW w:type="dxa" w:w="4500"/>
            <w:shd w:fill="F9FAFB" w:val="clear"/>
            <w:vAlign w:val="center"/>
          </w:tcPr>
          <w:p>
            <w:pPr>
              <w:spacing w:after="60" w:before="60"/>
              <w:ind w:left="115"/>
            </w:pPr>
            <w:r>
              <w:rPr>
                <w:b w:val="false"/>
                <w:bCs w:val="false"/>
                <w:color w:val="4A4A4A"/>
                <w:sz w:val="20"/>
                <w:szCs w:val="20"/>
              </w:rPr>
              <w:t xml:space="preserve">Ministry bulk export</w:t>
            </w:r>
          </w:p>
        </w:tc>
        <w:tc>
          <w:tcPr>
            <w:tcW w:type="dxa" w:w="4500"/>
            <w:shd w:fill="F9FAFB" w:val="clear"/>
            <w:vAlign w:val="center"/>
          </w:tcPr>
          <w:p>
            <w:pPr>
              <w:spacing w:after="60" w:before="60"/>
              <w:ind w:left="115"/>
            </w:pPr>
            <w:r>
              <w:rPr>
                <w:b w:val="false"/>
                <w:bCs w:val="false"/>
                <w:color w:val="4A4A4A"/>
                <w:sz w:val="20"/>
                <w:szCs w:val="20"/>
              </w:rPr>
              <w:t xml:space="preserve">1–2 times/month: 1M+ row aggregate queries, 5–15 minutes each</w:t>
            </w:r>
          </w:p>
        </w:tc>
      </w:tr>
      <w:tr>
        <w:tc>
          <w:tcPr>
            <w:tcW w:type="dxa" w:w="4500"/>
            <w:shd w:fill="FFFFFF" w:val="clear"/>
            <w:vAlign w:val="center"/>
          </w:tcPr>
          <w:p>
            <w:pPr>
              <w:spacing w:after="60" w:before="60"/>
              <w:ind w:left="115"/>
            </w:pPr>
            <w:r>
              <w:rPr>
                <w:b w:val="false"/>
                <w:bCs w:val="false"/>
                <w:color w:val="4A4A4A"/>
                <w:sz w:val="20"/>
                <w:szCs w:val="20"/>
              </w:rPr>
              <w:t xml:space="preserve">AI job queue (daily)</w:t>
            </w:r>
          </w:p>
        </w:tc>
        <w:tc>
          <w:tcPr>
            <w:tcW w:type="dxa" w:w="4500"/>
            <w:shd w:fill="FFFFFF" w:val="clear"/>
            <w:vAlign w:val="center"/>
          </w:tcPr>
          <w:p>
            <w:pPr>
              <w:spacing w:after="60" w:before="60"/>
              <w:ind w:left="115"/>
            </w:pPr>
            <w:r>
              <w:rPr>
                <w:b w:val="false"/>
                <w:bCs w:val="false"/>
                <w:color w:val="4A4A4A"/>
                <w:sz w:val="20"/>
                <w:szCs w:val="20"/>
              </w:rPr>
              <w:t xml:space="preserve">~100,000 gap analysis jobs / day during school year (batch overnight)</w:t>
            </w:r>
          </w:p>
        </w:tc>
      </w:tr>
      <w:tr>
        <w:tc>
          <w:tcPr>
            <w:tcW w:type="dxa" w:w="4500"/>
            <w:shd w:fill="F9FAFB" w:val="clear"/>
            <w:vAlign w:val="center"/>
          </w:tcPr>
          <w:p>
            <w:pPr>
              <w:spacing w:after="60" w:before="60"/>
              <w:ind w:left="115"/>
            </w:pPr>
            <w:r>
              <w:rPr>
                <w:b w:val="false"/>
                <w:bCs w:val="false"/>
                <w:color w:val="4A4A4A"/>
                <w:sz w:val="20"/>
                <w:szCs w:val="20"/>
              </w:rPr>
              <w:t xml:space="preserve">School Box sync</w:t>
            </w:r>
          </w:p>
        </w:tc>
        <w:tc>
          <w:tcPr>
            <w:tcW w:type="dxa" w:w="4500"/>
            <w:shd w:fill="F9FAFB" w:val="clear"/>
            <w:vAlign w:val="center"/>
          </w:tcPr>
          <w:p>
            <w:pPr>
              <w:spacing w:after="60" w:before="60"/>
              <w:ind w:left="115"/>
            </w:pPr>
            <w:r>
              <w:rPr>
                <w:b w:val="false"/>
                <w:bCs w:val="false"/>
                <w:color w:val="4A4A4A"/>
                <w:sz w:val="20"/>
                <w:szCs w:val="20"/>
              </w:rPr>
              <w:t xml:space="preserve">~50,000 School Boxes syncing every 6 hours when online — staggered</w:t>
            </w:r>
          </w:p>
        </w:tc>
      </w:tr>
    </w:tbl>
    <w:p>
      <w:pPr>
        <w:pStyle w:val="Heading2"/>
        <w:spacing w:after="120" w:before="320"/>
      </w:pPr>
      <w:r>
        <w:t xml:space="preserve">10.2 Caching Strategy</w:t>
      </w:r>
    </w:p>
    <w:p>
      <w:pPr>
        <w:pStyle w:val="Heading3"/>
        <w:spacing w:after="80" w:before="240"/>
      </w:pPr>
      <w:r>
        <w:t xml:space="preserve">10.2.1 Cache Layers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Cache Layer</w:t>
            </w:r>
          </w:p>
        </w:tc>
        <w:tc>
          <w:tcPr>
            <w:tcW w:type="dxa" w:w="4500"/>
            <w:shd w:fill="1A4A7A" w:val="clear"/>
            <w:vAlign w:val="center"/>
          </w:tcPr>
          <w:p>
            <w:pPr>
              <w:spacing w:after="60" w:before="60"/>
              <w:ind w:left="115"/>
            </w:pPr>
            <w:r>
              <w:rPr>
                <w:b/>
                <w:bCs/>
                <w:color w:val="FFFFFF"/>
                <w:sz w:val="20"/>
                <w:szCs w:val="20"/>
              </w:rPr>
              <w:t xml:space="preserve">Strategy</w:t>
            </w:r>
          </w:p>
        </w:tc>
      </w:tr>
      <w:tr>
        <w:tc>
          <w:tcPr>
            <w:tcW w:type="dxa" w:w="4500"/>
            <w:shd w:fill="FFFFFF" w:val="clear"/>
            <w:vAlign w:val="center"/>
          </w:tcPr>
          <w:p>
            <w:pPr>
              <w:spacing w:after="60" w:before="60"/>
              <w:ind w:left="115"/>
            </w:pPr>
            <w:r>
              <w:rPr>
                <w:b w:val="false"/>
                <w:bCs w:val="false"/>
                <w:color w:val="4A4A4A"/>
                <w:sz w:val="20"/>
                <w:szCs w:val="20"/>
              </w:rPr>
              <w:t xml:space="preserve">CDN (CloudFront)</w:t>
            </w:r>
          </w:p>
        </w:tc>
        <w:tc>
          <w:tcPr>
            <w:tcW w:type="dxa" w:w="4500"/>
            <w:shd w:fill="FFFFFF" w:val="clear"/>
            <w:vAlign w:val="center"/>
          </w:tcPr>
          <w:p>
            <w:pPr>
              <w:spacing w:after="60" w:before="60"/>
              <w:ind w:left="115"/>
            </w:pPr>
            <w:r>
              <w:rPr>
                <w:b w:val="false"/>
                <w:bCs w:val="false"/>
                <w:color w:val="4A4A4A"/>
                <w:sz w:val="20"/>
                <w:szCs w:val="20"/>
              </w:rPr>
              <w:t xml:space="preserve">Static assets (JS, CSS, fonts). TTL: 1 year (content-hash filenames). Global edge caching.</w:t>
            </w:r>
          </w:p>
        </w:tc>
      </w:tr>
      <w:tr>
        <w:tc>
          <w:tcPr>
            <w:tcW w:type="dxa" w:w="4500"/>
            <w:shd w:fill="F9FAFB" w:val="clear"/>
            <w:vAlign w:val="center"/>
          </w:tcPr>
          <w:p>
            <w:pPr>
              <w:spacing w:after="60" w:before="60"/>
              <w:ind w:left="115"/>
            </w:pPr>
            <w:r>
              <w:rPr>
                <w:b w:val="false"/>
                <w:bCs w:val="false"/>
                <w:color w:val="4A4A4A"/>
                <w:sz w:val="20"/>
                <w:szCs w:val="20"/>
              </w:rPr>
              <w:t xml:space="preserve">API response cache (Redis)</w:t>
            </w:r>
          </w:p>
        </w:tc>
        <w:tc>
          <w:tcPr>
            <w:tcW w:type="dxa" w:w="4500"/>
            <w:shd w:fill="F9FAFB" w:val="clear"/>
            <w:vAlign w:val="center"/>
          </w:tcPr>
          <w:p>
            <w:pPr>
              <w:spacing w:after="60" w:before="60"/>
              <w:ind w:left="115"/>
            </w:pPr>
            <w:r>
              <w:rPr>
                <w:b w:val="false"/>
                <w:bCs w:val="false"/>
                <w:color w:val="4A4A4A"/>
                <w:sz w:val="20"/>
                <w:szCs w:val="20"/>
              </w:rPr>
              <w:t xml:space="preserve">Ministry aggregates: TTL 5 min. School quality scores: TTL 1 hour. Student gap list: TTL 10 min (invalidated on new exam submission).</w:t>
            </w:r>
          </w:p>
        </w:tc>
      </w:tr>
      <w:tr>
        <w:tc>
          <w:tcPr>
            <w:tcW w:type="dxa" w:w="4500"/>
            <w:shd w:fill="FFFFFF" w:val="clear"/>
            <w:vAlign w:val="center"/>
          </w:tcPr>
          <w:p>
            <w:pPr>
              <w:spacing w:after="60" w:before="60"/>
              <w:ind w:left="115"/>
            </w:pPr>
            <w:r>
              <w:rPr>
                <w:b w:val="false"/>
                <w:bCs w:val="false"/>
                <w:color w:val="4A4A4A"/>
                <w:sz w:val="20"/>
                <w:szCs w:val="20"/>
              </w:rPr>
              <w:t xml:space="preserve">Database query cache</w:t>
            </w:r>
          </w:p>
        </w:tc>
        <w:tc>
          <w:tcPr>
            <w:tcW w:type="dxa" w:w="4500"/>
            <w:shd w:fill="FFFFFF" w:val="clear"/>
            <w:vAlign w:val="center"/>
          </w:tcPr>
          <w:p>
            <w:pPr>
              <w:spacing w:after="60" w:before="60"/>
              <w:ind w:left="115"/>
            </w:pPr>
            <w:r>
              <w:rPr>
                <w:b w:val="false"/>
                <w:bCs w:val="false"/>
                <w:color w:val="4A4A4A"/>
                <w:sz w:val="20"/>
                <w:szCs w:val="20"/>
              </w:rPr>
              <w:t xml:space="preserve">pgBouncer query-level cache for read replicas (Ministry report queries). TTL: 2 minutes.</w:t>
            </w:r>
          </w:p>
        </w:tc>
      </w:tr>
      <w:tr>
        <w:tc>
          <w:tcPr>
            <w:tcW w:type="dxa" w:w="4500"/>
            <w:shd w:fill="F9FAFB" w:val="clear"/>
            <w:vAlign w:val="center"/>
          </w:tcPr>
          <w:p>
            <w:pPr>
              <w:spacing w:after="60" w:before="60"/>
              <w:ind w:left="115"/>
            </w:pPr>
            <w:r>
              <w:rPr>
                <w:b w:val="false"/>
                <w:bCs w:val="false"/>
                <w:color w:val="4A4A4A"/>
                <w:sz w:val="20"/>
                <w:szCs w:val="20"/>
              </w:rPr>
              <w:t xml:space="preserve">Neo4j result cache</w:t>
            </w:r>
          </w:p>
        </w:tc>
        <w:tc>
          <w:tcPr>
            <w:tcW w:type="dxa" w:w="4500"/>
            <w:shd w:fill="F9FAFB" w:val="clear"/>
            <w:vAlign w:val="center"/>
          </w:tcPr>
          <w:p>
            <w:pPr>
              <w:spacing w:after="60" w:before="60"/>
              <w:ind w:left="115"/>
            </w:pPr>
            <w:r>
              <w:rPr>
                <w:b w:val="false"/>
                <w:bCs w:val="false"/>
                <w:color w:val="4A4A4A"/>
                <w:sz w:val="20"/>
                <w:szCs w:val="20"/>
              </w:rPr>
              <w:t xml:space="preserve">Neo4j 5.x has built-in result caching for repeated read queries. Enabled for curriculum graph traversals.</w:t>
            </w:r>
          </w:p>
        </w:tc>
      </w:tr>
      <w:tr>
        <w:tc>
          <w:tcPr>
            <w:tcW w:type="dxa" w:w="4500"/>
            <w:shd w:fill="FFFFFF" w:val="clear"/>
            <w:vAlign w:val="center"/>
          </w:tcPr>
          <w:p>
            <w:pPr>
              <w:spacing w:after="60" w:before="60"/>
              <w:ind w:left="115"/>
            </w:pPr>
            <w:r>
              <w:rPr>
                <w:b w:val="false"/>
                <w:bCs w:val="false"/>
                <w:color w:val="4A4A4A"/>
                <w:sz w:val="20"/>
                <w:szCs w:val="20"/>
              </w:rPr>
              <w:t xml:space="preserve">TanStack Query (client)</w:t>
            </w:r>
          </w:p>
        </w:tc>
        <w:tc>
          <w:tcPr>
            <w:tcW w:type="dxa" w:w="4500"/>
            <w:shd w:fill="FFFFFF" w:val="clear"/>
            <w:vAlign w:val="center"/>
          </w:tcPr>
          <w:p>
            <w:pPr>
              <w:spacing w:after="60" w:before="60"/>
              <w:ind w:left="115"/>
            </w:pPr>
            <w:r>
              <w:rPr>
                <w:b w:val="false"/>
                <w:bCs w:val="false"/>
                <w:color w:val="4A4A4A"/>
                <w:sz w:val="20"/>
                <w:szCs w:val="20"/>
              </w:rPr>
              <w:t xml:space="preserve">Client-side stale-while-revalidate. Student dashboard: stale 5 min, refetch 10 min. Ministry: stale 1 min.</w:t>
            </w:r>
          </w:p>
        </w:tc>
      </w:tr>
    </w:tbl>
    <w:p>
      <w:pPr>
        <w:pStyle w:val="Heading3"/>
        <w:spacing w:after="80" w:before="240"/>
      </w:pPr>
      <w:r>
        <w:t xml:space="preserve">10.2.2 Cache Invalidation</w:t>
      </w:r>
    </w:p>
    <w:p>
      <w:pPr>
        <w:spacing w:after="60" w:before="60"/>
        <w:ind w:left="0"/>
      </w:pPr>
      <w:r>
        <w:rPr>
          <w:color w:val="4A4A4A"/>
          <w:sz w:val="22"/>
          <w:szCs w:val="22"/>
        </w:rPr>
        <w:t xml:space="preserve">Cache invalidation is event-driven via Redis pub-sub. When a teacher submits a graded exam: the Go API publishes an invalidation event to the student:{studentId}:gap channel. The Redis cache key for that student's gap analysis is deleted. The next request regenerates the gap from the database and re-caches. Ministry aggregate caches are invalidated on a TTL basis — no event-driven invalidation needed at that aggregation level.</w:t>
      </w:r>
    </w:p>
    <w:p>
      <w:pPr>
        <w:pStyle w:val="Heading2"/>
        <w:spacing w:after="120" w:before="320"/>
      </w:pPr>
      <w:r>
        <w:t xml:space="preserve">10.3 Database Scaling</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Layer</w:t>
            </w:r>
          </w:p>
        </w:tc>
        <w:tc>
          <w:tcPr>
            <w:tcW w:type="dxa" w:w="4500"/>
            <w:shd w:fill="1A4A7A" w:val="clear"/>
            <w:vAlign w:val="center"/>
          </w:tcPr>
          <w:p>
            <w:pPr>
              <w:spacing w:after="60" w:before="60"/>
              <w:ind w:left="115"/>
            </w:pPr>
            <w:r>
              <w:rPr>
                <w:b/>
                <w:bCs/>
                <w:color w:val="FFFFFF"/>
                <w:sz w:val="20"/>
                <w:szCs w:val="20"/>
              </w:rPr>
              <w:t xml:space="preserve">Scaling Approach</w:t>
            </w:r>
          </w:p>
        </w:tc>
      </w:tr>
      <w:tr>
        <w:tc>
          <w:tcPr>
            <w:tcW w:type="dxa" w:w="4500"/>
            <w:shd w:fill="FFFFFF" w:val="clear"/>
            <w:vAlign w:val="center"/>
          </w:tcPr>
          <w:p>
            <w:pPr>
              <w:spacing w:after="60" w:before="60"/>
              <w:ind w:left="115"/>
            </w:pPr>
            <w:r>
              <w:rPr>
                <w:b w:val="false"/>
                <w:bCs w:val="false"/>
                <w:color w:val="4A4A4A"/>
                <w:sz w:val="20"/>
                <w:szCs w:val="20"/>
              </w:rPr>
              <w:t xml:space="preserve">PostgreSQL write scale</w:t>
            </w:r>
          </w:p>
        </w:tc>
        <w:tc>
          <w:tcPr>
            <w:tcW w:type="dxa" w:w="4500"/>
            <w:shd w:fill="FFFFFF" w:val="clear"/>
            <w:vAlign w:val="center"/>
          </w:tcPr>
          <w:p>
            <w:pPr>
              <w:spacing w:after="60" w:before="60"/>
              <w:ind w:left="115"/>
            </w:pPr>
            <w:r>
              <w:rPr>
                <w:b w:val="false"/>
                <w:bCs w:val="false"/>
                <w:color w:val="4A4A4A"/>
                <w:sz w:val="20"/>
                <w:szCs w:val="20"/>
              </w:rPr>
              <w:t xml:space="preserve">Single primary sufficient to 500 writes/sec. Connection pooling via PgBouncer prevents connection exhaustion. Vertical scale (r7g.4xlarge) before horizontal sharding.</w:t>
            </w:r>
          </w:p>
        </w:tc>
      </w:tr>
      <w:tr>
        <w:tc>
          <w:tcPr>
            <w:tcW w:type="dxa" w:w="4500"/>
            <w:shd w:fill="F9FAFB" w:val="clear"/>
            <w:vAlign w:val="center"/>
          </w:tcPr>
          <w:p>
            <w:pPr>
              <w:spacing w:after="60" w:before="60"/>
              <w:ind w:left="115"/>
            </w:pPr>
            <w:r>
              <w:rPr>
                <w:b w:val="false"/>
                <w:bCs w:val="false"/>
                <w:color w:val="4A4A4A"/>
                <w:sz w:val="20"/>
                <w:szCs w:val="20"/>
              </w:rPr>
              <w:t xml:space="preserve">PostgreSQL read scale</w:t>
            </w:r>
          </w:p>
        </w:tc>
        <w:tc>
          <w:tcPr>
            <w:tcW w:type="dxa" w:w="4500"/>
            <w:shd w:fill="F9FAFB" w:val="clear"/>
            <w:vAlign w:val="center"/>
          </w:tcPr>
          <w:p>
            <w:pPr>
              <w:spacing w:after="60" w:before="60"/>
              <w:ind w:left="115"/>
            </w:pPr>
            <w:r>
              <w:rPr>
                <w:b w:val="false"/>
                <w:bCs w:val="false"/>
                <w:color w:val="4A4A4A"/>
                <w:sz w:val="20"/>
                <w:szCs w:val="20"/>
              </w:rPr>
              <w:t xml:space="preserve">One read replica for Ministry report queries. Horizontal read replicas added per 1000 concurrent read users.</w:t>
            </w:r>
          </w:p>
        </w:tc>
      </w:tr>
      <w:tr>
        <w:tc>
          <w:tcPr>
            <w:tcW w:type="dxa" w:w="4500"/>
            <w:shd w:fill="FFFFFF" w:val="clear"/>
            <w:vAlign w:val="center"/>
          </w:tcPr>
          <w:p>
            <w:pPr>
              <w:spacing w:after="60" w:before="60"/>
              <w:ind w:left="115"/>
            </w:pPr>
            <w:r>
              <w:rPr>
                <w:b w:val="false"/>
                <w:bCs w:val="false"/>
                <w:color w:val="4A4A4A"/>
                <w:sz w:val="20"/>
                <w:szCs w:val="20"/>
              </w:rPr>
              <w:t xml:space="preserve">Neo4j read scale</w:t>
            </w:r>
          </w:p>
        </w:tc>
        <w:tc>
          <w:tcPr>
            <w:tcW w:type="dxa" w:w="4500"/>
            <w:shd w:fill="FFFFFF" w:val="clear"/>
            <w:vAlign w:val="center"/>
          </w:tcPr>
          <w:p>
            <w:pPr>
              <w:spacing w:after="60" w:before="60"/>
              <w:ind w:left="115"/>
            </w:pPr>
            <w:r>
              <w:rPr>
                <w:b w:val="false"/>
                <w:bCs w:val="false"/>
                <w:color w:val="4A4A4A"/>
                <w:sz w:val="20"/>
                <w:szCs w:val="20"/>
              </w:rPr>
              <w:t xml:space="preserve">Two read replicas in the causal cluster absorb graph traversal load. Curriculum graph is read-mostly.</w:t>
            </w:r>
          </w:p>
        </w:tc>
      </w:tr>
      <w:tr>
        <w:tc>
          <w:tcPr>
            <w:tcW w:type="dxa" w:w="4500"/>
            <w:shd w:fill="F9FAFB" w:val="clear"/>
            <w:vAlign w:val="center"/>
          </w:tcPr>
          <w:p>
            <w:pPr>
              <w:spacing w:after="60" w:before="60"/>
              <w:ind w:left="115"/>
            </w:pPr>
            <w:r>
              <w:rPr>
                <w:b w:val="false"/>
                <w:bCs w:val="false"/>
                <w:color w:val="4A4A4A"/>
                <w:sz w:val="20"/>
                <w:szCs w:val="20"/>
              </w:rPr>
              <w:t xml:space="preserve">Redis scale</w:t>
            </w:r>
          </w:p>
        </w:tc>
        <w:tc>
          <w:tcPr>
            <w:tcW w:type="dxa" w:w="4500"/>
            <w:shd w:fill="F9FAFB" w:val="clear"/>
            <w:vAlign w:val="center"/>
          </w:tcPr>
          <w:p>
            <w:pPr>
              <w:spacing w:after="60" w:before="60"/>
              <w:ind w:left="115"/>
            </w:pPr>
            <w:r>
              <w:rPr>
                <w:b w:val="false"/>
                <w:bCs w:val="false"/>
                <w:color w:val="4A4A4A"/>
                <w:sz w:val="20"/>
                <w:szCs w:val="20"/>
              </w:rPr>
              <w:t xml:space="preserve">Cluster mode with 3 shards. Add shards on memory utilization &gt;70%.</w:t>
            </w:r>
          </w:p>
        </w:tc>
      </w:tr>
      <w:tr>
        <w:tc>
          <w:tcPr>
            <w:tcW w:type="dxa" w:w="4500"/>
            <w:shd w:fill="FFFFFF" w:val="clear"/>
            <w:vAlign w:val="center"/>
          </w:tcPr>
          <w:p>
            <w:pPr>
              <w:spacing w:after="60" w:before="60"/>
              <w:ind w:left="115"/>
            </w:pPr>
            <w:r>
              <w:rPr>
                <w:b w:val="false"/>
                <w:bCs w:val="false"/>
                <w:color w:val="4A4A4A"/>
                <w:sz w:val="20"/>
                <w:szCs w:val="20"/>
              </w:rPr>
              <w:t xml:space="preserve">Exam season prep</w:t>
            </w:r>
          </w:p>
        </w:tc>
        <w:tc>
          <w:tcPr>
            <w:tcW w:type="dxa" w:w="4500"/>
            <w:shd w:fill="FFFFFF" w:val="clear"/>
            <w:vAlign w:val="center"/>
          </w:tcPr>
          <w:p>
            <w:pPr>
              <w:spacing w:after="60" w:before="60"/>
              <w:ind w:left="115"/>
            </w:pPr>
            <w:r>
              <w:rPr>
                <w:b w:val="false"/>
                <w:bCs w:val="false"/>
                <w:color w:val="4A4A4A"/>
                <w:sz w:val="20"/>
                <w:szCs w:val="20"/>
              </w:rPr>
              <w:t xml:space="preserve">Pre-scale: HPA min replicas raised 2 weeks before national exam. Read replica added. Redis shards pre-warmed.</w:t>
            </w:r>
          </w:p>
        </w:tc>
      </w:tr>
    </w:tbl>
    <w:p>
      <w:pPr>
        <w:pStyle w:val="Heading2"/>
        <w:spacing w:after="120" w:before="320"/>
      </w:pPr>
      <w:r>
        <w:t xml:space="preserve">10.4 Failover and High Availability</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Component</w:t>
            </w:r>
          </w:p>
        </w:tc>
        <w:tc>
          <w:tcPr>
            <w:tcW w:type="dxa" w:w="4500"/>
            <w:shd w:fill="1A4A7A" w:val="clear"/>
            <w:vAlign w:val="center"/>
          </w:tcPr>
          <w:p>
            <w:pPr>
              <w:spacing w:after="60" w:before="60"/>
              <w:ind w:left="115"/>
            </w:pPr>
            <w:r>
              <w:rPr>
                <w:b/>
                <w:bCs/>
                <w:color w:val="FFFFFF"/>
                <w:sz w:val="20"/>
                <w:szCs w:val="20"/>
              </w:rPr>
              <w:t xml:space="preserve">HA Mechanism</w:t>
            </w:r>
          </w:p>
        </w:tc>
      </w:tr>
      <w:tr>
        <w:tc>
          <w:tcPr>
            <w:tcW w:type="dxa" w:w="4500"/>
            <w:shd w:fill="FFFFFF" w:val="clear"/>
            <w:vAlign w:val="center"/>
          </w:tcPr>
          <w:p>
            <w:pPr>
              <w:spacing w:after="60" w:before="60"/>
              <w:ind w:left="115"/>
            </w:pPr>
            <w:r>
              <w:rPr>
                <w:b w:val="false"/>
                <w:bCs w:val="false"/>
                <w:color w:val="4A4A4A"/>
                <w:sz w:val="20"/>
                <w:szCs w:val="20"/>
              </w:rPr>
              <w:t xml:space="preserve">Go API</w:t>
            </w:r>
          </w:p>
        </w:tc>
        <w:tc>
          <w:tcPr>
            <w:tcW w:type="dxa" w:w="4500"/>
            <w:shd w:fill="FFFFFF" w:val="clear"/>
            <w:vAlign w:val="center"/>
          </w:tcPr>
          <w:p>
            <w:pPr>
              <w:spacing w:after="60" w:before="60"/>
              <w:ind w:left="115"/>
            </w:pPr>
            <w:r>
              <w:rPr>
                <w:b w:val="false"/>
                <w:bCs w:val="false"/>
                <w:color w:val="4A4A4A"/>
                <w:sz w:val="20"/>
                <w:szCs w:val="20"/>
              </w:rPr>
              <w:t xml:space="preserve">3 replicas minimum. K8s pod disruption budget: max 1 unavailable. Anti-affinity across AZs.</w:t>
            </w:r>
          </w:p>
        </w:tc>
      </w:tr>
      <w:tr>
        <w:tc>
          <w:tcPr>
            <w:tcW w:type="dxa" w:w="4500"/>
            <w:shd w:fill="F9FAFB" w:val="clear"/>
            <w:vAlign w:val="center"/>
          </w:tcPr>
          <w:p>
            <w:pPr>
              <w:spacing w:after="60" w:before="60"/>
              <w:ind w:left="115"/>
            </w:pPr>
            <w:r>
              <w:rPr>
                <w:b w:val="false"/>
                <w:bCs w:val="false"/>
                <w:color w:val="4A4A4A"/>
                <w:sz w:val="20"/>
                <w:szCs w:val="20"/>
              </w:rPr>
              <w:t xml:space="preserve">PostgreSQL</w:t>
            </w:r>
          </w:p>
        </w:tc>
        <w:tc>
          <w:tcPr>
            <w:tcW w:type="dxa" w:w="4500"/>
            <w:shd w:fill="F9FAFB" w:val="clear"/>
            <w:vAlign w:val="center"/>
          </w:tcPr>
          <w:p>
            <w:pPr>
              <w:spacing w:after="60" w:before="60"/>
              <w:ind w:left="115"/>
            </w:pPr>
            <w:r>
              <w:rPr>
                <w:b w:val="false"/>
                <w:bCs w:val="false"/>
                <w:color w:val="4A4A4A"/>
                <w:sz w:val="20"/>
                <w:szCs w:val="20"/>
              </w:rPr>
              <w:t xml:space="preserve">Multi-AZ RDS. Automatic failover in &lt;60s. Clients use pgBouncer which retries on primary failure.</w:t>
            </w:r>
          </w:p>
        </w:tc>
      </w:tr>
      <w:tr>
        <w:tc>
          <w:tcPr>
            <w:tcW w:type="dxa" w:w="4500"/>
            <w:shd w:fill="FFFFFF" w:val="clear"/>
            <w:vAlign w:val="center"/>
          </w:tcPr>
          <w:p>
            <w:pPr>
              <w:spacing w:after="60" w:before="60"/>
              <w:ind w:left="115"/>
            </w:pPr>
            <w:r>
              <w:rPr>
                <w:b w:val="false"/>
                <w:bCs w:val="false"/>
                <w:color w:val="4A4A4A"/>
                <w:sz w:val="20"/>
                <w:szCs w:val="20"/>
              </w:rPr>
              <w:t xml:space="preserve">Neo4j</w:t>
            </w:r>
          </w:p>
        </w:tc>
        <w:tc>
          <w:tcPr>
            <w:tcW w:type="dxa" w:w="4500"/>
            <w:shd w:fill="FFFFFF" w:val="clear"/>
            <w:vAlign w:val="center"/>
          </w:tcPr>
          <w:p>
            <w:pPr>
              <w:spacing w:after="60" w:before="60"/>
              <w:ind w:left="115"/>
            </w:pPr>
            <w:r>
              <w:rPr>
                <w:b w:val="false"/>
                <w:bCs w:val="false"/>
                <w:color w:val="4A4A4A"/>
                <w:sz w:val="20"/>
                <w:szCs w:val="20"/>
              </w:rPr>
              <w:t xml:space="preserve">Causal cluster: automatic leader election. Followers continue serving reads during leader re-election.</w:t>
            </w:r>
          </w:p>
        </w:tc>
      </w:tr>
      <w:tr>
        <w:tc>
          <w:tcPr>
            <w:tcW w:type="dxa" w:w="4500"/>
            <w:shd w:fill="F9FAFB" w:val="clear"/>
            <w:vAlign w:val="center"/>
          </w:tcPr>
          <w:p>
            <w:pPr>
              <w:spacing w:after="60" w:before="60"/>
              <w:ind w:left="115"/>
            </w:pPr>
            <w:r>
              <w:rPr>
                <w:b w:val="false"/>
                <w:bCs w:val="false"/>
                <w:color w:val="4A4A4A"/>
                <w:sz w:val="20"/>
                <w:szCs w:val="20"/>
              </w:rPr>
              <w:t xml:space="preserve">Redis</w:t>
            </w:r>
          </w:p>
        </w:tc>
        <w:tc>
          <w:tcPr>
            <w:tcW w:type="dxa" w:w="4500"/>
            <w:shd w:fill="F9FAFB" w:val="clear"/>
            <w:vAlign w:val="center"/>
          </w:tcPr>
          <w:p>
            <w:pPr>
              <w:spacing w:after="60" w:before="60"/>
              <w:ind w:left="115"/>
            </w:pPr>
            <w:r>
              <w:rPr>
                <w:b w:val="false"/>
                <w:bCs w:val="false"/>
                <w:color w:val="4A4A4A"/>
                <w:sz w:val="20"/>
                <w:szCs w:val="20"/>
              </w:rPr>
              <w:t xml:space="preserve">ElastiCache Multi-AZ with automatic failover. Read replicas promoted to primary in &lt;30s.</w:t>
            </w:r>
          </w:p>
        </w:tc>
      </w:tr>
      <w:tr>
        <w:tc>
          <w:tcPr>
            <w:tcW w:type="dxa" w:w="4500"/>
            <w:shd w:fill="FFFFFF" w:val="clear"/>
            <w:vAlign w:val="center"/>
          </w:tcPr>
          <w:p>
            <w:pPr>
              <w:spacing w:after="60" w:before="60"/>
              <w:ind w:left="115"/>
            </w:pPr>
            <w:r>
              <w:rPr>
                <w:b w:val="false"/>
                <w:bCs w:val="false"/>
                <w:color w:val="4A4A4A"/>
                <w:sz w:val="20"/>
                <w:szCs w:val="20"/>
              </w:rPr>
              <w:t xml:space="preserve">Kong</w:t>
            </w:r>
          </w:p>
        </w:tc>
        <w:tc>
          <w:tcPr>
            <w:tcW w:type="dxa" w:w="4500"/>
            <w:shd w:fill="FFFFFF" w:val="clear"/>
            <w:vAlign w:val="center"/>
          </w:tcPr>
          <w:p>
            <w:pPr>
              <w:spacing w:after="60" w:before="60"/>
              <w:ind w:left="115"/>
            </w:pPr>
            <w:r>
              <w:rPr>
                <w:b w:val="false"/>
                <w:bCs w:val="false"/>
                <w:color w:val="4A4A4A"/>
                <w:sz w:val="20"/>
                <w:szCs w:val="20"/>
              </w:rPr>
              <w:t xml:space="preserve">2 replicas. Session state in Redis (shared). Either pod handles any request.</w:t>
            </w:r>
          </w:p>
        </w:tc>
      </w:tr>
      <w:tr>
        <w:tc>
          <w:tcPr>
            <w:tcW w:type="dxa" w:w="4500"/>
            <w:shd w:fill="F9FAFB" w:val="clear"/>
            <w:vAlign w:val="center"/>
          </w:tcPr>
          <w:p>
            <w:pPr>
              <w:spacing w:after="60" w:before="60"/>
              <w:ind w:left="115"/>
            </w:pPr>
            <w:r>
              <w:rPr>
                <w:b w:val="false"/>
                <w:bCs w:val="false"/>
                <w:color w:val="4A4A4A"/>
                <w:sz w:val="20"/>
                <w:szCs w:val="20"/>
              </w:rPr>
              <w:t xml:space="preserve">School Box</w:t>
            </w:r>
          </w:p>
        </w:tc>
        <w:tc>
          <w:tcPr>
            <w:tcW w:type="dxa" w:w="4500"/>
            <w:shd w:fill="F9FAFB" w:val="clear"/>
            <w:vAlign w:val="center"/>
          </w:tcPr>
          <w:p>
            <w:pPr>
              <w:spacing w:after="60" w:before="60"/>
              <w:ind w:left="115"/>
            </w:pPr>
            <w:r>
              <w:rPr>
                <w:b w:val="false"/>
                <w:bCs w:val="false"/>
                <w:color w:val="4A4A4A"/>
                <w:sz w:val="20"/>
                <w:szCs w:val="20"/>
              </w:rPr>
              <w:t xml:space="preserve">Self-contained — continues operating with no cloud dependency indefinitely when offline.</w:t>
            </w:r>
          </w:p>
        </w:tc>
      </w:tr>
    </w:tbl>
    <w:p>
      <w:pPr>
        <w:pStyle w:val="Heading2"/>
        <w:spacing w:after="120" w:before="320"/>
      </w:pPr>
      <w:r>
        <w:t xml:space="preserve">10.5 Results Day Surge Handling</w:t>
      </w:r>
    </w:p>
    <w:p>
      <w:pPr>
        <w:spacing w:after="60" w:before="60"/>
        <w:ind w:left="0"/>
      </w:pPr>
      <w:r>
        <w:rPr>
          <w:color w:val="4A4A4A"/>
          <w:sz w:val="22"/>
          <w:szCs w:val="22"/>
        </w:rPr>
        <w:t xml:space="preserve">National exam results release is the single highest-traffic event. The system pre-provisions for this:</w:t>
      </w:r>
    </w:p>
    <w:p>
      <w:pPr>
        <w:pStyle w:val="ListParagraph"/>
        <w:numPr>
          <w:ilvl w:val="0"/>
          <w:numId w:val="2"/>
        </w:numPr>
        <w:spacing w:after="40" w:before="40"/>
      </w:pPr>
      <w:r>
        <w:rPr>
          <w:color w:val="4A4A4A"/>
          <w:sz w:val="21"/>
          <w:szCs w:val="21"/>
        </w:rPr>
        <w:t xml:space="preserve">48 hours before results release: HPA minimum replicas raised to 12 for Go API, CDN cache pre-warmed with static assets.</w:t>
      </w:r>
    </w:p>
    <w:p>
      <w:pPr>
        <w:pStyle w:val="ListParagraph"/>
        <w:numPr>
          <w:ilvl w:val="0"/>
          <w:numId w:val="2"/>
        </w:numPr>
        <w:spacing w:after="40" w:before="40"/>
      </w:pPr>
      <w:r>
        <w:rPr>
          <w:color w:val="4A4A4A"/>
          <w:sz w:val="21"/>
          <w:szCs w:val="21"/>
        </w:rPr>
        <w:t xml:space="preserve">Results data pre-computed: individual student result objects generated as JSON and cached in Redis during off-peak hours the night before. On results day, API reads from Redis, not from PostgreSQL — zero DB load.</w:t>
      </w:r>
    </w:p>
    <w:p>
      <w:pPr>
        <w:pStyle w:val="ListParagraph"/>
        <w:numPr>
          <w:ilvl w:val="0"/>
          <w:numId w:val="2"/>
        </w:numPr>
        <w:spacing w:after="40" w:before="40"/>
      </w:pPr>
      <w:r>
        <w:rPr>
          <w:color w:val="4A4A4A"/>
          <w:sz w:val="21"/>
          <w:szCs w:val="21"/>
        </w:rPr>
        <w:t xml:space="preserve">Queue smoothing: if all 200,000 students hit the site simultaneously, a Redis-backed queue serves result requests at 10,000/second, returning a 'Your result is loading' response after 2 seconds rather than timing out.</w:t>
      </w:r>
    </w:p>
    <w:p>
      <w:pPr>
        <w:pStyle w:val="ListParagraph"/>
        <w:numPr>
          <w:ilvl w:val="0"/>
          <w:numId w:val="2"/>
        </w:numPr>
        <w:spacing w:after="40" w:before="40"/>
      </w:pPr>
      <w:r>
        <w:rPr>
          <w:color w:val="4A4A4A"/>
          <w:sz w:val="21"/>
          <w:szCs w:val="21"/>
        </w:rPr>
        <w:t xml:space="preserve">Graceful degradation: if Redis cache is exhausted, the API falls back to PostgreSQL read replica with a 5-second response time rather than returning errors.</w:t>
      </w:r>
    </w:p>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11 — Monitoring &amp; Observability</w:t>
            </w:r>
          </w:p>
          <w:p>
            <w:pPr>
              <w:spacing w:after="80" w:before="40"/>
            </w:pPr>
            <w:r>
              <w:rPr>
                <w:i/>
                <w:iCs/>
                <w:color w:val="B3D4FF"/>
                <w:sz w:val="20"/>
                <w:szCs w:val="20"/>
              </w:rPr>
              <w:t xml:space="preserve">Metrics, logging, tracing, alerting, and SLOs</w:t>
            </w:r>
          </w:p>
        </w:tc>
      </w:tr>
    </w:tbl>
    <w:p>
      <w:pPr>
        <w:spacing w:after="60" w:before="60"/>
      </w:pPr>
    </w:p>
    <w:p>
      <w:pPr>
        <w:pStyle w:val="Heading2"/>
        <w:spacing w:after="120" w:before="320"/>
      </w:pPr>
      <w:r>
        <w:t xml:space="preserve">11.1 Observability Stack</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Tool</w:t>
            </w:r>
          </w:p>
        </w:tc>
        <w:tc>
          <w:tcPr>
            <w:tcW w:type="dxa" w:w="4500"/>
            <w:shd w:fill="1A4A7A" w:val="clear"/>
            <w:vAlign w:val="center"/>
          </w:tcPr>
          <w:p>
            <w:pPr>
              <w:spacing w:after="60" w:before="60"/>
              <w:ind w:left="115"/>
            </w:pPr>
            <w:r>
              <w:rPr>
                <w:b/>
                <w:bCs/>
                <w:color w:val="FFFFFF"/>
                <w:sz w:val="20"/>
                <w:szCs w:val="20"/>
              </w:rPr>
              <w:t xml:space="preserve">Role</w:t>
            </w:r>
          </w:p>
        </w:tc>
      </w:tr>
      <w:tr>
        <w:tc>
          <w:tcPr>
            <w:tcW w:type="dxa" w:w="4500"/>
            <w:shd w:fill="FFFFFF" w:val="clear"/>
            <w:vAlign w:val="center"/>
          </w:tcPr>
          <w:p>
            <w:pPr>
              <w:spacing w:after="60" w:before="60"/>
              <w:ind w:left="115"/>
            </w:pPr>
            <w:r>
              <w:rPr>
                <w:b w:val="false"/>
                <w:bCs w:val="false"/>
                <w:color w:val="4A4A4A"/>
                <w:sz w:val="20"/>
                <w:szCs w:val="20"/>
              </w:rPr>
              <w:t xml:space="preserve">Prometheus</w:t>
            </w:r>
          </w:p>
        </w:tc>
        <w:tc>
          <w:tcPr>
            <w:tcW w:type="dxa" w:w="4500"/>
            <w:shd w:fill="FFFFFF" w:val="clear"/>
            <w:vAlign w:val="center"/>
          </w:tcPr>
          <w:p>
            <w:pPr>
              <w:spacing w:after="60" w:before="60"/>
              <w:ind w:left="115"/>
            </w:pPr>
            <w:r>
              <w:rPr>
                <w:b w:val="false"/>
                <w:bCs w:val="false"/>
                <w:color w:val="4A4A4A"/>
                <w:sz w:val="20"/>
                <w:szCs w:val="20"/>
              </w:rPr>
              <w:t xml:space="preserve">Metrics collection. Scrapes all services every 15s. 30-day retention.</w:t>
            </w:r>
          </w:p>
        </w:tc>
      </w:tr>
      <w:tr>
        <w:tc>
          <w:tcPr>
            <w:tcW w:type="dxa" w:w="4500"/>
            <w:shd w:fill="F9FAFB" w:val="clear"/>
            <w:vAlign w:val="center"/>
          </w:tcPr>
          <w:p>
            <w:pPr>
              <w:spacing w:after="60" w:before="60"/>
              <w:ind w:left="115"/>
            </w:pPr>
            <w:r>
              <w:rPr>
                <w:b w:val="false"/>
                <w:bCs w:val="false"/>
                <w:color w:val="4A4A4A"/>
                <w:sz w:val="20"/>
                <w:szCs w:val="20"/>
              </w:rPr>
              <w:t xml:space="preserve">Grafana</w:t>
            </w:r>
          </w:p>
        </w:tc>
        <w:tc>
          <w:tcPr>
            <w:tcW w:type="dxa" w:w="4500"/>
            <w:shd w:fill="F9FAFB" w:val="clear"/>
            <w:vAlign w:val="center"/>
          </w:tcPr>
          <w:p>
            <w:pPr>
              <w:spacing w:after="60" w:before="60"/>
              <w:ind w:left="115"/>
            </w:pPr>
            <w:r>
              <w:rPr>
                <w:b w:val="false"/>
                <w:bCs w:val="false"/>
                <w:color w:val="4A4A4A"/>
                <w:sz w:val="20"/>
                <w:szCs w:val="20"/>
              </w:rPr>
              <w:t xml:space="preserve">Dashboards: API health, DB performance, AI queue depth, School Box sync status.</w:t>
            </w:r>
          </w:p>
        </w:tc>
      </w:tr>
      <w:tr>
        <w:tc>
          <w:tcPr>
            <w:tcW w:type="dxa" w:w="4500"/>
            <w:shd w:fill="FFFFFF" w:val="clear"/>
            <w:vAlign w:val="center"/>
          </w:tcPr>
          <w:p>
            <w:pPr>
              <w:spacing w:after="60" w:before="60"/>
              <w:ind w:left="115"/>
            </w:pPr>
            <w:r>
              <w:rPr>
                <w:b w:val="false"/>
                <w:bCs w:val="false"/>
                <w:color w:val="4A4A4A"/>
                <w:sz w:val="20"/>
                <w:szCs w:val="20"/>
              </w:rPr>
              <w:t xml:space="preserve">Loki</w:t>
            </w:r>
          </w:p>
        </w:tc>
        <w:tc>
          <w:tcPr>
            <w:tcW w:type="dxa" w:w="4500"/>
            <w:shd w:fill="FFFFFF" w:val="clear"/>
            <w:vAlign w:val="center"/>
          </w:tcPr>
          <w:p>
            <w:pPr>
              <w:spacing w:after="60" w:before="60"/>
              <w:ind w:left="115"/>
            </w:pPr>
            <w:r>
              <w:rPr>
                <w:b w:val="false"/>
                <w:bCs w:val="false"/>
                <w:color w:val="4A4A4A"/>
                <w:sz w:val="20"/>
                <w:szCs w:val="20"/>
              </w:rPr>
              <w:t xml:space="preserve">Log aggregation from all pods via Promtail. Structured JSON logs indexed by trace ID.</w:t>
            </w:r>
          </w:p>
        </w:tc>
      </w:tr>
      <w:tr>
        <w:tc>
          <w:tcPr>
            <w:tcW w:type="dxa" w:w="4500"/>
            <w:shd w:fill="F9FAFB" w:val="clear"/>
            <w:vAlign w:val="center"/>
          </w:tcPr>
          <w:p>
            <w:pPr>
              <w:spacing w:after="60" w:before="60"/>
              <w:ind w:left="115"/>
            </w:pPr>
            <w:r>
              <w:rPr>
                <w:b w:val="false"/>
                <w:bCs w:val="false"/>
                <w:color w:val="4A4A4A"/>
                <w:sz w:val="20"/>
                <w:szCs w:val="20"/>
              </w:rPr>
              <w:t xml:space="preserve">Jaeger</w:t>
            </w:r>
          </w:p>
        </w:tc>
        <w:tc>
          <w:tcPr>
            <w:tcW w:type="dxa" w:w="4500"/>
            <w:shd w:fill="F9FAFB" w:val="clear"/>
            <w:vAlign w:val="center"/>
          </w:tcPr>
          <w:p>
            <w:pPr>
              <w:spacing w:after="60" w:before="60"/>
              <w:ind w:left="115"/>
            </w:pPr>
            <w:r>
              <w:rPr>
                <w:b w:val="false"/>
                <w:bCs w:val="false"/>
                <w:color w:val="4A4A4A"/>
                <w:sz w:val="20"/>
                <w:szCs w:val="20"/>
              </w:rPr>
              <w:t xml:space="preserve">Distributed tracing. Every API request generates a trace ID propagated to all downstream calls.</w:t>
            </w:r>
          </w:p>
        </w:tc>
      </w:tr>
      <w:tr>
        <w:tc>
          <w:tcPr>
            <w:tcW w:type="dxa" w:w="4500"/>
            <w:shd w:fill="FFFFFF" w:val="clear"/>
            <w:vAlign w:val="center"/>
          </w:tcPr>
          <w:p>
            <w:pPr>
              <w:spacing w:after="60" w:before="60"/>
              <w:ind w:left="115"/>
            </w:pPr>
            <w:r>
              <w:rPr>
                <w:b w:val="false"/>
                <w:bCs w:val="false"/>
                <w:color w:val="4A4A4A"/>
                <w:sz w:val="20"/>
                <w:szCs w:val="20"/>
              </w:rPr>
              <w:t xml:space="preserve">AlertManager</w:t>
            </w:r>
          </w:p>
        </w:tc>
        <w:tc>
          <w:tcPr>
            <w:tcW w:type="dxa" w:w="4500"/>
            <w:shd w:fill="FFFFFF" w:val="clear"/>
            <w:vAlign w:val="center"/>
          </w:tcPr>
          <w:p>
            <w:pPr>
              <w:spacing w:after="60" w:before="60"/>
              <w:ind w:left="115"/>
            </w:pPr>
            <w:r>
              <w:rPr>
                <w:b w:val="false"/>
                <w:bCs w:val="false"/>
                <w:color w:val="4A4A4A"/>
                <w:sz w:val="20"/>
                <w:szCs w:val="20"/>
              </w:rPr>
              <w:t xml:space="preserve">Routes alerts: PagerDuty (P1/P2, on-call), Slack (P3/P4), email (weekly digests).</w:t>
            </w:r>
          </w:p>
        </w:tc>
      </w:tr>
      <w:tr>
        <w:tc>
          <w:tcPr>
            <w:tcW w:type="dxa" w:w="4500"/>
            <w:shd w:fill="F9FAFB" w:val="clear"/>
            <w:vAlign w:val="center"/>
          </w:tcPr>
          <w:p>
            <w:pPr>
              <w:spacing w:after="60" w:before="60"/>
              <w:ind w:left="115"/>
            </w:pPr>
            <w:r>
              <w:rPr>
                <w:b w:val="false"/>
                <w:bCs w:val="false"/>
                <w:color w:val="4A4A4A"/>
                <w:sz w:val="20"/>
                <w:szCs w:val="20"/>
              </w:rPr>
              <w:t xml:space="preserve">Uptime Robot</w:t>
            </w:r>
          </w:p>
        </w:tc>
        <w:tc>
          <w:tcPr>
            <w:tcW w:type="dxa" w:w="4500"/>
            <w:shd w:fill="F9FAFB" w:val="clear"/>
            <w:vAlign w:val="center"/>
          </w:tcPr>
          <w:p>
            <w:pPr>
              <w:spacing w:after="60" w:before="60"/>
              <w:ind w:left="115"/>
            </w:pPr>
            <w:r>
              <w:rPr>
                <w:b w:val="false"/>
                <w:bCs w:val="false"/>
                <w:color w:val="4A4A4A"/>
                <w:sz w:val="20"/>
                <w:szCs w:val="20"/>
              </w:rPr>
              <w:t xml:space="preserve">External synthetic monitoring. Checks 6 critical endpoints every 60s from 3 regions.</w:t>
            </w:r>
          </w:p>
        </w:tc>
      </w:tr>
    </w:tbl>
    <w:p>
      <w:pPr>
        <w:pStyle w:val="Heading2"/>
        <w:spacing w:after="120" w:before="320"/>
      </w:pPr>
      <w:r>
        <w:t xml:space="preserve">11.2 Service Level Objectives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Service</w:t>
            </w:r>
          </w:p>
        </w:tc>
        <w:tc>
          <w:tcPr>
            <w:tcW w:type="dxa" w:w="4500"/>
            <w:shd w:fill="1A4A7A" w:val="clear"/>
            <w:vAlign w:val="center"/>
          </w:tcPr>
          <w:p>
            <w:pPr>
              <w:spacing w:after="60" w:before="60"/>
              <w:ind w:left="115"/>
            </w:pPr>
            <w:r>
              <w:rPr>
                <w:b/>
                <w:bCs/>
                <w:color w:val="FFFFFF"/>
                <w:sz w:val="20"/>
                <w:szCs w:val="20"/>
              </w:rPr>
              <w:t xml:space="preserve">SLO Target</w:t>
            </w:r>
          </w:p>
        </w:tc>
      </w:tr>
      <w:tr>
        <w:tc>
          <w:tcPr>
            <w:tcW w:type="dxa" w:w="4500"/>
            <w:shd w:fill="FFFFFF" w:val="clear"/>
            <w:vAlign w:val="center"/>
          </w:tcPr>
          <w:p>
            <w:pPr>
              <w:spacing w:after="60" w:before="60"/>
              <w:ind w:left="115"/>
            </w:pPr>
            <w:r>
              <w:rPr>
                <w:b w:val="false"/>
                <w:bCs w:val="false"/>
                <w:color w:val="4A4A4A"/>
                <w:sz w:val="20"/>
                <w:szCs w:val="20"/>
              </w:rPr>
              <w:t xml:space="preserve">API availability</w:t>
            </w:r>
          </w:p>
        </w:tc>
        <w:tc>
          <w:tcPr>
            <w:tcW w:type="dxa" w:w="4500"/>
            <w:shd w:fill="FFFFFF" w:val="clear"/>
            <w:vAlign w:val="center"/>
          </w:tcPr>
          <w:p>
            <w:pPr>
              <w:spacing w:after="60" w:before="60"/>
              <w:ind w:left="115"/>
            </w:pPr>
            <w:r>
              <w:rPr>
                <w:b w:val="false"/>
                <w:bCs w:val="false"/>
                <w:color w:val="4A4A4A"/>
                <w:sz w:val="20"/>
                <w:szCs w:val="20"/>
              </w:rPr>
              <w:t xml:space="preserve">99.9% monthly (&lt; 44 minutes downtime/month)</w:t>
            </w:r>
          </w:p>
        </w:tc>
      </w:tr>
      <w:tr>
        <w:tc>
          <w:tcPr>
            <w:tcW w:type="dxa" w:w="4500"/>
            <w:shd w:fill="F9FAFB" w:val="clear"/>
            <w:vAlign w:val="center"/>
          </w:tcPr>
          <w:p>
            <w:pPr>
              <w:spacing w:after="60" w:before="60"/>
              <w:ind w:left="115"/>
            </w:pPr>
            <w:r>
              <w:rPr>
                <w:b w:val="false"/>
                <w:bCs w:val="false"/>
                <w:color w:val="4A4A4A"/>
                <w:sz w:val="20"/>
                <w:szCs w:val="20"/>
              </w:rPr>
              <w:t xml:space="preserve">API P99 response time</w:t>
            </w:r>
          </w:p>
        </w:tc>
        <w:tc>
          <w:tcPr>
            <w:tcW w:type="dxa" w:w="4500"/>
            <w:shd w:fill="F9FAFB" w:val="clear"/>
            <w:vAlign w:val="center"/>
          </w:tcPr>
          <w:p>
            <w:pPr>
              <w:spacing w:after="60" w:before="60"/>
              <w:ind w:left="115"/>
            </w:pPr>
            <w:r>
              <w:rPr>
                <w:b w:val="false"/>
                <w:bCs w:val="false"/>
                <w:color w:val="4A4A4A"/>
                <w:sz w:val="20"/>
                <w:szCs w:val="20"/>
              </w:rPr>
              <w:t xml:space="preserve">&lt; 400ms for all non-AI endpoints</w:t>
            </w:r>
          </w:p>
        </w:tc>
      </w:tr>
      <w:tr>
        <w:tc>
          <w:tcPr>
            <w:tcW w:type="dxa" w:w="4500"/>
            <w:shd w:fill="FFFFFF" w:val="clear"/>
            <w:vAlign w:val="center"/>
          </w:tcPr>
          <w:p>
            <w:pPr>
              <w:spacing w:after="60" w:before="60"/>
              <w:ind w:left="115"/>
            </w:pPr>
            <w:r>
              <w:rPr>
                <w:b w:val="false"/>
                <w:bCs w:val="false"/>
                <w:color w:val="4A4A4A"/>
                <w:sz w:val="20"/>
                <w:szCs w:val="20"/>
              </w:rPr>
              <w:t xml:space="preserve">AI job completion (study plan)</w:t>
            </w:r>
          </w:p>
        </w:tc>
        <w:tc>
          <w:tcPr>
            <w:tcW w:type="dxa" w:w="4500"/>
            <w:shd w:fill="FFFFFF" w:val="clear"/>
            <w:vAlign w:val="center"/>
          </w:tcPr>
          <w:p>
            <w:pPr>
              <w:spacing w:after="60" w:before="60"/>
              <w:ind w:left="115"/>
            </w:pPr>
            <w:r>
              <w:rPr>
                <w:b w:val="false"/>
                <w:bCs w:val="false"/>
                <w:color w:val="4A4A4A"/>
                <w:sz w:val="20"/>
                <w:szCs w:val="20"/>
              </w:rPr>
              <w:t xml:space="preserve">95% of jobs complete in &lt; 30 seconds</w:t>
            </w:r>
          </w:p>
        </w:tc>
      </w:tr>
      <w:tr>
        <w:tc>
          <w:tcPr>
            <w:tcW w:type="dxa" w:w="4500"/>
            <w:shd w:fill="F9FAFB" w:val="clear"/>
            <w:vAlign w:val="center"/>
          </w:tcPr>
          <w:p>
            <w:pPr>
              <w:spacing w:after="60" w:before="60"/>
              <w:ind w:left="115"/>
            </w:pPr>
            <w:r>
              <w:rPr>
                <w:b w:val="false"/>
                <w:bCs w:val="false"/>
                <w:color w:val="4A4A4A"/>
                <w:sz w:val="20"/>
                <w:szCs w:val="20"/>
              </w:rPr>
              <w:t xml:space="preserve">School Box sync lag</w:t>
            </w:r>
          </w:p>
        </w:tc>
        <w:tc>
          <w:tcPr>
            <w:tcW w:type="dxa" w:w="4500"/>
            <w:shd w:fill="F9FAFB" w:val="clear"/>
            <w:vAlign w:val="center"/>
          </w:tcPr>
          <w:p>
            <w:pPr>
              <w:spacing w:after="60" w:before="60"/>
              <w:ind w:left="115"/>
            </w:pPr>
            <w:r>
              <w:rPr>
                <w:b w:val="false"/>
                <w:bCs w:val="false"/>
                <w:color w:val="4A4A4A"/>
                <w:sz w:val="20"/>
                <w:szCs w:val="20"/>
              </w:rPr>
              <w:t xml:space="preserve">&lt; 6 hours behind cloud data when connectivity available</w:t>
            </w:r>
          </w:p>
        </w:tc>
      </w:tr>
      <w:tr>
        <w:tc>
          <w:tcPr>
            <w:tcW w:type="dxa" w:w="4500"/>
            <w:shd w:fill="FFFFFF" w:val="clear"/>
            <w:vAlign w:val="center"/>
          </w:tcPr>
          <w:p>
            <w:pPr>
              <w:spacing w:after="60" w:before="60"/>
              <w:ind w:left="115"/>
            </w:pPr>
            <w:r>
              <w:rPr>
                <w:b w:val="false"/>
                <w:bCs w:val="false"/>
                <w:color w:val="4A4A4A"/>
                <w:sz w:val="20"/>
                <w:szCs w:val="20"/>
              </w:rPr>
              <w:t xml:space="preserve">Database failover RTO</w:t>
            </w:r>
          </w:p>
        </w:tc>
        <w:tc>
          <w:tcPr>
            <w:tcW w:type="dxa" w:w="4500"/>
            <w:shd w:fill="FFFFFF" w:val="clear"/>
            <w:vAlign w:val="center"/>
          </w:tcPr>
          <w:p>
            <w:pPr>
              <w:spacing w:after="60" w:before="60"/>
              <w:ind w:left="115"/>
            </w:pPr>
            <w:r>
              <w:rPr>
                <w:b w:val="false"/>
                <w:bCs w:val="false"/>
                <w:color w:val="4A4A4A"/>
                <w:sz w:val="20"/>
                <w:szCs w:val="20"/>
              </w:rPr>
              <w:t xml:space="preserve">&lt; 60 seconds (PostgreSQL Multi-AZ automatic failover)</w:t>
            </w:r>
          </w:p>
        </w:tc>
      </w:tr>
      <w:tr>
        <w:tc>
          <w:tcPr>
            <w:tcW w:type="dxa" w:w="4500"/>
            <w:shd w:fill="F9FAFB" w:val="clear"/>
            <w:vAlign w:val="center"/>
          </w:tcPr>
          <w:p>
            <w:pPr>
              <w:spacing w:after="60" w:before="60"/>
              <w:ind w:left="115"/>
            </w:pPr>
            <w:r>
              <w:rPr>
                <w:b w:val="false"/>
                <w:bCs w:val="false"/>
                <w:color w:val="4A4A4A"/>
                <w:sz w:val="20"/>
                <w:szCs w:val="20"/>
              </w:rPr>
              <w:t xml:space="preserve">Database RPO</w:t>
            </w:r>
          </w:p>
        </w:tc>
        <w:tc>
          <w:tcPr>
            <w:tcW w:type="dxa" w:w="4500"/>
            <w:shd w:fill="F9FAFB" w:val="clear"/>
            <w:vAlign w:val="center"/>
          </w:tcPr>
          <w:p>
            <w:pPr>
              <w:spacing w:after="60" w:before="60"/>
              <w:ind w:left="115"/>
            </w:pPr>
            <w:r>
              <w:rPr>
                <w:b w:val="false"/>
                <w:bCs w:val="false"/>
                <w:color w:val="4A4A4A"/>
                <w:sz w:val="20"/>
                <w:szCs w:val="20"/>
              </w:rPr>
              <w:t xml:space="preserve">&lt; 5 minutes (continuous WAL archiving)</w:t>
            </w:r>
          </w:p>
        </w:tc>
      </w:tr>
      <w:tr>
        <w:tc>
          <w:tcPr>
            <w:tcW w:type="dxa" w:w="4500"/>
            <w:shd w:fill="FFFFFF" w:val="clear"/>
            <w:vAlign w:val="center"/>
          </w:tcPr>
          <w:p>
            <w:pPr>
              <w:spacing w:after="60" w:before="60"/>
              <w:ind w:left="115"/>
            </w:pPr>
            <w:r>
              <w:rPr>
                <w:b w:val="false"/>
                <w:bCs w:val="false"/>
                <w:color w:val="4A4A4A"/>
                <w:sz w:val="20"/>
                <w:szCs w:val="20"/>
              </w:rPr>
              <w:t xml:space="preserve">Results day availability</w:t>
            </w:r>
          </w:p>
        </w:tc>
        <w:tc>
          <w:tcPr>
            <w:tcW w:type="dxa" w:w="4500"/>
            <w:shd w:fill="FFFFFF" w:val="clear"/>
            <w:vAlign w:val="center"/>
          </w:tcPr>
          <w:p>
            <w:pPr>
              <w:spacing w:after="60" w:before="60"/>
              <w:ind w:left="115"/>
            </w:pPr>
            <w:r>
              <w:rPr>
                <w:b w:val="false"/>
                <w:bCs w:val="false"/>
                <w:color w:val="4A4A4A"/>
                <w:sz w:val="20"/>
                <w:szCs w:val="20"/>
              </w:rPr>
              <w:t xml:space="preserve">99.95% — dedicated SLO for national exam results release</w:t>
            </w:r>
          </w:p>
        </w:tc>
      </w:tr>
    </w:tbl>
    <w:p>
      <w:pPr>
        <w:pStyle w:val="Heading2"/>
        <w:spacing w:after="120" w:before="320"/>
      </w:pPr>
      <w:r>
        <w:t xml:space="preserve">11.3 Key Alerts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Severity</w:t>
            </w:r>
          </w:p>
        </w:tc>
        <w:tc>
          <w:tcPr>
            <w:tcW w:type="dxa" w:w="4500"/>
            <w:shd w:fill="1A4A7A" w:val="clear"/>
            <w:vAlign w:val="center"/>
          </w:tcPr>
          <w:p>
            <w:pPr>
              <w:spacing w:after="60" w:before="60"/>
              <w:ind w:left="115"/>
            </w:pPr>
            <w:r>
              <w:rPr>
                <w:b/>
                <w:bCs/>
                <w:color w:val="FFFFFF"/>
                <w:sz w:val="20"/>
                <w:szCs w:val="20"/>
              </w:rPr>
              <w:t xml:space="preserve">Trigger Conditions</w:t>
            </w:r>
          </w:p>
        </w:tc>
      </w:tr>
      <w:tr>
        <w:tc>
          <w:tcPr>
            <w:tcW w:type="dxa" w:w="4500"/>
            <w:shd w:fill="FFFFFF" w:val="clear"/>
            <w:vAlign w:val="center"/>
          </w:tcPr>
          <w:p>
            <w:pPr>
              <w:spacing w:after="60" w:before="60"/>
              <w:ind w:left="115"/>
            </w:pPr>
            <w:r>
              <w:rPr>
                <w:b w:val="false"/>
                <w:bCs w:val="false"/>
                <w:color w:val="4A4A4A"/>
                <w:sz w:val="20"/>
                <w:szCs w:val="20"/>
              </w:rPr>
              <w:t xml:space="preserve">P1 — Page immediately</w:t>
            </w:r>
          </w:p>
        </w:tc>
        <w:tc>
          <w:tcPr>
            <w:tcW w:type="dxa" w:w="4500"/>
            <w:shd w:fill="FFFFFF" w:val="clear"/>
            <w:vAlign w:val="center"/>
          </w:tcPr>
          <w:p>
            <w:pPr>
              <w:spacing w:after="60" w:before="60"/>
              <w:ind w:left="115"/>
            </w:pPr>
            <w:r>
              <w:rPr>
                <w:b w:val="false"/>
                <w:bCs w:val="false"/>
                <w:color w:val="4A4A4A"/>
                <w:sz w:val="20"/>
                <w:szCs w:val="20"/>
              </w:rPr>
              <w:t xml:space="preserve">API availability &lt; 99%, DB replication lag &gt; 5min, active security incident, data exfiltration detected</w:t>
            </w:r>
          </w:p>
        </w:tc>
      </w:tr>
      <w:tr>
        <w:tc>
          <w:tcPr>
            <w:tcW w:type="dxa" w:w="4500"/>
            <w:shd w:fill="F9FAFB" w:val="clear"/>
            <w:vAlign w:val="center"/>
          </w:tcPr>
          <w:p>
            <w:pPr>
              <w:spacing w:after="60" w:before="60"/>
              <w:ind w:left="115"/>
            </w:pPr>
            <w:r>
              <w:rPr>
                <w:b w:val="false"/>
                <w:bCs w:val="false"/>
                <w:color w:val="4A4A4A"/>
                <w:sz w:val="20"/>
                <w:szCs w:val="20"/>
              </w:rPr>
              <w:t xml:space="preserve">P2 — Page within 15min</w:t>
            </w:r>
          </w:p>
        </w:tc>
        <w:tc>
          <w:tcPr>
            <w:tcW w:type="dxa" w:w="4500"/>
            <w:shd w:fill="F9FAFB" w:val="clear"/>
            <w:vAlign w:val="center"/>
          </w:tcPr>
          <w:p>
            <w:pPr>
              <w:spacing w:after="60" w:before="60"/>
              <w:ind w:left="115"/>
            </w:pPr>
            <w:r>
              <w:rPr>
                <w:b w:val="false"/>
                <w:bCs w:val="false"/>
                <w:color w:val="4A4A4A"/>
                <w:sz w:val="20"/>
                <w:szCs w:val="20"/>
              </w:rPr>
              <w:t xml:space="preserve">P99 latency &gt; 1s sustained 5min, Redis memory &gt; 90%, AI service GPU down, Kong rate limit spike</w:t>
            </w:r>
          </w:p>
        </w:tc>
      </w:tr>
      <w:tr>
        <w:tc>
          <w:tcPr>
            <w:tcW w:type="dxa" w:w="4500"/>
            <w:shd w:fill="FFFFFF" w:val="clear"/>
            <w:vAlign w:val="center"/>
          </w:tcPr>
          <w:p>
            <w:pPr>
              <w:spacing w:after="60" w:before="60"/>
              <w:ind w:left="115"/>
            </w:pPr>
            <w:r>
              <w:rPr>
                <w:b w:val="false"/>
                <w:bCs w:val="false"/>
                <w:color w:val="4A4A4A"/>
                <w:sz w:val="20"/>
                <w:szCs w:val="20"/>
              </w:rPr>
              <w:t xml:space="preserve">P3 — Slack notification</w:t>
            </w:r>
          </w:p>
        </w:tc>
        <w:tc>
          <w:tcPr>
            <w:tcW w:type="dxa" w:w="4500"/>
            <w:shd w:fill="FFFFFF" w:val="clear"/>
            <w:vAlign w:val="center"/>
          </w:tcPr>
          <w:p>
            <w:pPr>
              <w:spacing w:after="60" w:before="60"/>
              <w:ind w:left="115"/>
            </w:pPr>
            <w:r>
              <w:rPr>
                <w:b w:val="false"/>
                <w:bCs w:val="false"/>
                <w:color w:val="4A4A4A"/>
                <w:sz w:val="20"/>
                <w:szCs w:val="20"/>
              </w:rPr>
              <w:t xml:space="preserve">Failed CI/CD deploy, certificate expiry &lt; 30 days, School Box sync failure &gt; 24h, disk &gt; 80%</w:t>
            </w:r>
          </w:p>
        </w:tc>
      </w:tr>
      <w:tr>
        <w:tc>
          <w:tcPr>
            <w:tcW w:type="dxa" w:w="4500"/>
            <w:shd w:fill="F9FAFB" w:val="clear"/>
            <w:vAlign w:val="center"/>
          </w:tcPr>
          <w:p>
            <w:pPr>
              <w:spacing w:after="60" w:before="60"/>
              <w:ind w:left="115"/>
            </w:pPr>
            <w:r>
              <w:rPr>
                <w:b w:val="false"/>
                <w:bCs w:val="false"/>
                <w:color w:val="4A4A4A"/>
                <w:sz w:val="20"/>
                <w:szCs w:val="20"/>
              </w:rPr>
              <w:t xml:space="preserve">P4 — Weekly digest</w:t>
            </w:r>
          </w:p>
        </w:tc>
        <w:tc>
          <w:tcPr>
            <w:tcW w:type="dxa" w:w="4500"/>
            <w:shd w:fill="F9FAFB" w:val="clear"/>
            <w:vAlign w:val="center"/>
          </w:tcPr>
          <w:p>
            <w:pPr>
              <w:spacing w:after="60" w:before="60"/>
              <w:ind w:left="115"/>
            </w:pPr>
            <w:r>
              <w:rPr>
                <w:b w:val="false"/>
                <w:bCs w:val="false"/>
                <w:color w:val="4A4A4A"/>
                <w:sz w:val="20"/>
                <w:szCs w:val="20"/>
              </w:rPr>
              <w:t xml:space="preserve">Dependency CVEs found, slow query log entries, cache miss rate increase, cost anomaly</w:t>
            </w:r>
          </w:p>
        </w:tc>
      </w:tr>
    </w:tbl>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12 — Data Governance &amp; Compliance</w:t>
            </w:r>
          </w:p>
          <w:p>
            <w:pPr>
              <w:spacing w:after="80" w:before="40"/>
            </w:pPr>
            <w:r>
              <w:rPr>
                <w:i/>
                <w:iCs/>
                <w:color w:val="B3D4FF"/>
                <w:sz w:val="20"/>
                <w:szCs w:val="20"/>
              </w:rPr>
              <w:t xml:space="preserve">Data sovereignty, privacy, retention, and legal compliance</w:t>
            </w:r>
          </w:p>
        </w:tc>
      </w:tr>
    </w:tbl>
    <w:p>
      <w:pPr>
        <w:spacing w:after="60" w:before="60"/>
      </w:pPr>
    </w:p>
    <w:p>
      <w:pPr>
        <w:pStyle w:val="Heading2"/>
        <w:spacing w:after="120" w:before="320"/>
      </w:pPr>
      <w:r>
        <w:t xml:space="preserve">12.1 Data Sovereignty</w:t>
      </w:r>
    </w:p>
    <w:p>
      <w:pPr>
        <w:spacing w:after="60" w:before="60"/>
        <w:ind w:left="0"/>
      </w:pPr>
      <w:r>
        <w:rPr>
          <w:color w:val="4A4A4A"/>
          <w:sz w:val="22"/>
          <w:szCs w:val="22"/>
        </w:rPr>
        <w:t xml:space="preserve">All student PII and educational records are stored exclusively in the AWS af-south-1 (Cape Town) region. No student data is transferred to any region outside Africa without explicit Ministry of Education authorization. This satisfies Ethiopian data protection requirements and aligns with the African Union Convention on Cyber Security and Personal Data Protection.</w:t>
      </w:r>
    </w:p>
    <w:p>
      <w:pPr>
        <w:pStyle w:val="Heading2"/>
        <w:spacing w:after="120" w:before="320"/>
      </w:pPr>
      <w:r>
        <w:t xml:space="preserve">12.2 PII Classification</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Classification</w:t>
            </w:r>
          </w:p>
        </w:tc>
        <w:tc>
          <w:tcPr>
            <w:tcW w:type="dxa" w:w="4500"/>
            <w:shd w:fill="1A4A7A" w:val="clear"/>
            <w:vAlign w:val="center"/>
          </w:tcPr>
          <w:p>
            <w:pPr>
              <w:spacing w:after="60" w:before="60"/>
              <w:ind w:left="115"/>
            </w:pPr>
            <w:r>
              <w:rPr>
                <w:b/>
                <w:bCs/>
                <w:color w:val="FFFFFF"/>
                <w:sz w:val="20"/>
                <w:szCs w:val="20"/>
              </w:rPr>
              <w:t xml:space="preserve">Definition and Access</w:t>
            </w:r>
          </w:p>
        </w:tc>
      </w:tr>
      <w:tr>
        <w:tc>
          <w:tcPr>
            <w:tcW w:type="dxa" w:w="4500"/>
            <w:shd w:fill="FFFFFF" w:val="clear"/>
            <w:vAlign w:val="center"/>
          </w:tcPr>
          <w:p>
            <w:pPr>
              <w:spacing w:after="60" w:before="60"/>
              <w:ind w:left="115"/>
            </w:pPr>
            <w:r>
              <w:rPr>
                <w:b w:val="false"/>
                <w:bCs w:val="false"/>
                <w:color w:val="4A4A4A"/>
                <w:sz w:val="20"/>
                <w:szCs w:val="20"/>
              </w:rPr>
              <w:t xml:space="preserve">Level 1 — Highly sensitive</w:t>
            </w:r>
          </w:p>
        </w:tc>
        <w:tc>
          <w:tcPr>
            <w:tcW w:type="dxa" w:w="4500"/>
            <w:shd w:fill="FFFFFF" w:val="clear"/>
            <w:vAlign w:val="center"/>
          </w:tcPr>
          <w:p>
            <w:pPr>
              <w:spacing w:after="60" w:before="60"/>
              <w:ind w:left="115"/>
            </w:pPr>
            <w:r>
              <w:rPr>
                <w:b w:val="false"/>
                <w:bCs w:val="false"/>
                <w:color w:val="4A4A4A"/>
                <w:sz w:val="20"/>
                <w:szCs w:val="20"/>
              </w:rPr>
              <w:t xml:space="preserve">Student name, national ID, parent contact, home region, disability status. Encrypted at application layer. Access: teacher and above.</w:t>
            </w:r>
          </w:p>
        </w:tc>
      </w:tr>
      <w:tr>
        <w:tc>
          <w:tcPr>
            <w:tcW w:type="dxa" w:w="4500"/>
            <w:shd w:fill="F9FAFB" w:val="clear"/>
            <w:vAlign w:val="center"/>
          </w:tcPr>
          <w:p>
            <w:pPr>
              <w:spacing w:after="60" w:before="60"/>
              <w:ind w:left="115"/>
            </w:pPr>
            <w:r>
              <w:rPr>
                <w:b w:val="false"/>
                <w:bCs w:val="false"/>
                <w:color w:val="4A4A4A"/>
                <w:sz w:val="20"/>
                <w:szCs w:val="20"/>
              </w:rPr>
              <w:t xml:space="preserve">Level 2 — Sensitive</w:t>
            </w:r>
          </w:p>
        </w:tc>
        <w:tc>
          <w:tcPr>
            <w:tcW w:type="dxa" w:w="4500"/>
            <w:shd w:fill="F9FAFB" w:val="clear"/>
            <w:vAlign w:val="center"/>
          </w:tcPr>
          <w:p>
            <w:pPr>
              <w:spacing w:after="60" w:before="60"/>
              <w:ind w:left="115"/>
            </w:pPr>
            <w:r>
              <w:rPr>
                <w:b w:val="false"/>
                <w:bCs w:val="false"/>
                <w:color w:val="4A4A4A"/>
                <w:sz w:val="20"/>
                <w:szCs w:val="20"/>
              </w:rPr>
              <w:t xml:space="preserve">Exam scores, gap analysis, study performance. Encrypted at rest. Access: student (own), teacher, school admin.</w:t>
            </w:r>
          </w:p>
        </w:tc>
      </w:tr>
      <w:tr>
        <w:tc>
          <w:tcPr>
            <w:tcW w:type="dxa" w:w="4500"/>
            <w:shd w:fill="FFFFFF" w:val="clear"/>
            <w:vAlign w:val="center"/>
          </w:tcPr>
          <w:p>
            <w:pPr>
              <w:spacing w:after="60" w:before="60"/>
              <w:ind w:left="115"/>
            </w:pPr>
            <w:r>
              <w:rPr>
                <w:b w:val="false"/>
                <w:bCs w:val="false"/>
                <w:color w:val="4A4A4A"/>
                <w:sz w:val="20"/>
                <w:szCs w:val="20"/>
              </w:rPr>
              <w:t xml:space="preserve">Level 3 — Internal</w:t>
            </w:r>
          </w:p>
        </w:tc>
        <w:tc>
          <w:tcPr>
            <w:tcW w:type="dxa" w:w="4500"/>
            <w:shd w:fill="FFFFFF" w:val="clear"/>
            <w:vAlign w:val="center"/>
          </w:tcPr>
          <w:p>
            <w:pPr>
              <w:spacing w:after="60" w:before="60"/>
              <w:ind w:left="115"/>
            </w:pPr>
            <w:r>
              <w:rPr>
                <w:b w:val="false"/>
                <w:bCs w:val="false"/>
                <w:color w:val="4A4A4A"/>
                <w:sz w:val="20"/>
                <w:szCs w:val="20"/>
              </w:rPr>
              <w:t xml:space="preserve">Aggregated school/region performance. Not personally identifiable. Access: Ministry and above.</w:t>
            </w:r>
          </w:p>
        </w:tc>
      </w:tr>
      <w:tr>
        <w:tc>
          <w:tcPr>
            <w:tcW w:type="dxa" w:w="4500"/>
            <w:shd w:fill="F9FAFB" w:val="clear"/>
            <w:vAlign w:val="center"/>
          </w:tcPr>
          <w:p>
            <w:pPr>
              <w:spacing w:after="60" w:before="60"/>
              <w:ind w:left="115"/>
            </w:pPr>
            <w:r>
              <w:rPr>
                <w:b w:val="false"/>
                <w:bCs w:val="false"/>
                <w:color w:val="4A4A4A"/>
                <w:sz w:val="20"/>
                <w:szCs w:val="20"/>
              </w:rPr>
              <w:t xml:space="preserve">Level 4 — Public</w:t>
            </w:r>
          </w:p>
        </w:tc>
        <w:tc>
          <w:tcPr>
            <w:tcW w:type="dxa" w:w="4500"/>
            <w:shd w:fill="F9FAFB" w:val="clear"/>
            <w:vAlign w:val="center"/>
          </w:tcPr>
          <w:p>
            <w:pPr>
              <w:spacing w:after="60" w:before="60"/>
              <w:ind w:left="115"/>
            </w:pPr>
            <w:r>
              <w:rPr>
                <w:b w:val="false"/>
                <w:bCs w:val="false"/>
                <w:color w:val="4A4A4A"/>
                <w:sz w:val="20"/>
                <w:szCs w:val="20"/>
              </w:rPr>
              <w:t xml:space="preserve">National pass rate statistics, anonymous curriculum coverage data. Published in Ministry reports.</w:t>
            </w:r>
          </w:p>
        </w:tc>
      </w:tr>
    </w:tbl>
    <w:p>
      <w:pPr>
        <w:pStyle w:val="Heading2"/>
        <w:spacing w:after="120" w:before="320"/>
      </w:pPr>
      <w:r>
        <w:t xml:space="preserve">12.3 Data Retention Policy</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4500"/>
        <w:gridCol w:w="4500"/>
      </w:tblGrid>
      <w:tr>
        <w:trPr>
          <w:tblHeader/>
        </w:trPr>
        <w:tc>
          <w:tcPr>
            <w:tcW w:type="dxa" w:w="4500"/>
            <w:shd w:fill="1A4A7A" w:val="clear"/>
            <w:vAlign w:val="center"/>
          </w:tcPr>
          <w:p>
            <w:pPr>
              <w:spacing w:after="60" w:before="60"/>
              <w:ind w:left="115"/>
            </w:pPr>
            <w:r>
              <w:rPr>
                <w:b/>
                <w:bCs/>
                <w:color w:val="FFFFFF"/>
                <w:sz w:val="20"/>
                <w:szCs w:val="20"/>
              </w:rPr>
              <w:t xml:space="preserve">Data Type</w:t>
            </w:r>
          </w:p>
        </w:tc>
        <w:tc>
          <w:tcPr>
            <w:tcW w:type="dxa" w:w="4500"/>
            <w:shd w:fill="1A4A7A" w:val="clear"/>
            <w:vAlign w:val="center"/>
          </w:tcPr>
          <w:p>
            <w:pPr>
              <w:spacing w:after="60" w:before="60"/>
              <w:ind w:left="115"/>
            </w:pPr>
            <w:r>
              <w:rPr>
                <w:b/>
                <w:bCs/>
                <w:color w:val="FFFFFF"/>
                <w:sz w:val="20"/>
                <w:szCs w:val="20"/>
              </w:rPr>
              <w:t xml:space="preserve">Retention Period</w:t>
            </w:r>
          </w:p>
        </w:tc>
      </w:tr>
      <w:tr>
        <w:tc>
          <w:tcPr>
            <w:tcW w:type="dxa" w:w="4500"/>
            <w:shd w:fill="FFFFFF" w:val="clear"/>
            <w:vAlign w:val="center"/>
          </w:tcPr>
          <w:p>
            <w:pPr>
              <w:spacing w:after="60" w:before="60"/>
              <w:ind w:left="115"/>
            </w:pPr>
            <w:r>
              <w:rPr>
                <w:b w:val="false"/>
                <w:bCs w:val="false"/>
                <w:color w:val="4A4A4A"/>
                <w:sz w:val="20"/>
                <w:szCs w:val="20"/>
              </w:rPr>
              <w:t xml:space="preserve">Student academic records</w:t>
            </w:r>
          </w:p>
        </w:tc>
        <w:tc>
          <w:tcPr>
            <w:tcW w:type="dxa" w:w="4500"/>
            <w:shd w:fill="FFFFFF" w:val="clear"/>
            <w:vAlign w:val="center"/>
          </w:tcPr>
          <w:p>
            <w:pPr>
              <w:spacing w:after="60" w:before="60"/>
              <w:ind w:left="115"/>
            </w:pPr>
            <w:r>
              <w:rPr>
                <w:b w:val="false"/>
                <w:bCs w:val="false"/>
                <w:color w:val="4A4A4A"/>
                <w:sz w:val="20"/>
                <w:szCs w:val="20"/>
              </w:rPr>
              <w:t xml:space="preserve">7 years after graduation or school exit (Ethiopian education records law)</w:t>
            </w:r>
          </w:p>
        </w:tc>
      </w:tr>
      <w:tr>
        <w:tc>
          <w:tcPr>
            <w:tcW w:type="dxa" w:w="4500"/>
            <w:shd w:fill="F9FAFB" w:val="clear"/>
            <w:vAlign w:val="center"/>
          </w:tcPr>
          <w:p>
            <w:pPr>
              <w:spacing w:after="60" w:before="60"/>
              <w:ind w:left="115"/>
            </w:pPr>
            <w:r>
              <w:rPr>
                <w:b w:val="false"/>
                <w:bCs w:val="false"/>
                <w:color w:val="4A4A4A"/>
                <w:sz w:val="20"/>
                <w:szCs w:val="20"/>
              </w:rPr>
              <w:t xml:space="preserve">Exam answer sheets</w:t>
            </w:r>
          </w:p>
        </w:tc>
        <w:tc>
          <w:tcPr>
            <w:tcW w:type="dxa" w:w="4500"/>
            <w:shd w:fill="F9FAFB" w:val="clear"/>
            <w:vAlign w:val="center"/>
          </w:tcPr>
          <w:p>
            <w:pPr>
              <w:spacing w:after="60" w:before="60"/>
              <w:ind w:left="115"/>
            </w:pPr>
            <w:r>
              <w:rPr>
                <w:b w:val="false"/>
                <w:bCs w:val="false"/>
                <w:color w:val="4A4A4A"/>
                <w:sz w:val="20"/>
                <w:szCs w:val="20"/>
              </w:rPr>
              <w:t xml:space="preserve">3 years active, then Glacier archive for 4 more years</w:t>
            </w:r>
          </w:p>
        </w:tc>
      </w:tr>
      <w:tr>
        <w:tc>
          <w:tcPr>
            <w:tcW w:type="dxa" w:w="4500"/>
            <w:shd w:fill="FFFFFF" w:val="clear"/>
            <w:vAlign w:val="center"/>
          </w:tcPr>
          <w:p>
            <w:pPr>
              <w:spacing w:after="60" w:before="60"/>
              <w:ind w:left="115"/>
            </w:pPr>
            <w:r>
              <w:rPr>
                <w:b w:val="false"/>
                <w:bCs w:val="false"/>
                <w:color w:val="4A4A4A"/>
                <w:sz w:val="20"/>
                <w:szCs w:val="20"/>
              </w:rPr>
              <w:t xml:space="preserve">Audit and access logs</w:t>
            </w:r>
          </w:p>
        </w:tc>
        <w:tc>
          <w:tcPr>
            <w:tcW w:type="dxa" w:w="4500"/>
            <w:shd w:fill="FFFFFF" w:val="clear"/>
            <w:vAlign w:val="center"/>
          </w:tcPr>
          <w:p>
            <w:pPr>
              <w:spacing w:after="60" w:before="60"/>
              <w:ind w:left="115"/>
            </w:pPr>
            <w:r>
              <w:rPr>
                <w:b w:val="false"/>
                <w:bCs w:val="false"/>
                <w:color w:val="4A4A4A"/>
                <w:sz w:val="20"/>
                <w:szCs w:val="20"/>
              </w:rPr>
              <w:t xml:space="preserve">7 years (S3 Object Lock — cannot be deleted)</w:t>
            </w:r>
          </w:p>
        </w:tc>
      </w:tr>
      <w:tr>
        <w:tc>
          <w:tcPr>
            <w:tcW w:type="dxa" w:w="4500"/>
            <w:shd w:fill="F9FAFB" w:val="clear"/>
            <w:vAlign w:val="center"/>
          </w:tcPr>
          <w:p>
            <w:pPr>
              <w:spacing w:after="60" w:before="60"/>
              <w:ind w:left="115"/>
            </w:pPr>
            <w:r>
              <w:rPr>
                <w:b w:val="false"/>
                <w:bCs w:val="false"/>
                <w:color w:val="4A4A4A"/>
                <w:sz w:val="20"/>
                <w:szCs w:val="20"/>
              </w:rPr>
              <w:t xml:space="preserve">AI request logs</w:t>
            </w:r>
          </w:p>
        </w:tc>
        <w:tc>
          <w:tcPr>
            <w:tcW w:type="dxa" w:w="4500"/>
            <w:shd w:fill="F9FAFB" w:val="clear"/>
            <w:vAlign w:val="center"/>
          </w:tcPr>
          <w:p>
            <w:pPr>
              <w:spacing w:after="60" w:before="60"/>
              <w:ind w:left="115"/>
            </w:pPr>
            <w:r>
              <w:rPr>
                <w:b w:val="false"/>
                <w:bCs w:val="false"/>
                <w:color w:val="4A4A4A"/>
                <w:sz w:val="20"/>
                <w:szCs w:val="20"/>
              </w:rPr>
              <w:t xml:space="preserve">1 year (prompt hashes only — no student content)</w:t>
            </w:r>
          </w:p>
        </w:tc>
      </w:tr>
      <w:tr>
        <w:tc>
          <w:tcPr>
            <w:tcW w:type="dxa" w:w="4500"/>
            <w:shd w:fill="FFFFFF" w:val="clear"/>
            <w:vAlign w:val="center"/>
          </w:tcPr>
          <w:p>
            <w:pPr>
              <w:spacing w:after="60" w:before="60"/>
              <w:ind w:left="115"/>
            </w:pPr>
            <w:r>
              <w:rPr>
                <w:b w:val="false"/>
                <w:bCs w:val="false"/>
                <w:color w:val="4A4A4A"/>
                <w:sz w:val="20"/>
                <w:szCs w:val="20"/>
              </w:rPr>
              <w:t xml:space="preserve">School Box sync logs</w:t>
            </w:r>
          </w:p>
        </w:tc>
        <w:tc>
          <w:tcPr>
            <w:tcW w:type="dxa" w:w="4500"/>
            <w:shd w:fill="FFFFFF" w:val="clear"/>
            <w:vAlign w:val="center"/>
          </w:tcPr>
          <w:p>
            <w:pPr>
              <w:spacing w:after="60" w:before="60"/>
              <w:ind w:left="115"/>
            </w:pPr>
            <w:r>
              <w:rPr>
                <w:b w:val="false"/>
                <w:bCs w:val="false"/>
                <w:color w:val="4A4A4A"/>
                <w:sz w:val="20"/>
                <w:szCs w:val="20"/>
              </w:rPr>
              <w:t xml:space="preserve">90 days</w:t>
            </w:r>
          </w:p>
        </w:tc>
      </w:tr>
      <w:tr>
        <w:tc>
          <w:tcPr>
            <w:tcW w:type="dxa" w:w="4500"/>
            <w:shd w:fill="F9FAFB" w:val="clear"/>
            <w:vAlign w:val="center"/>
          </w:tcPr>
          <w:p>
            <w:pPr>
              <w:spacing w:after="60" w:before="60"/>
              <w:ind w:left="115"/>
            </w:pPr>
            <w:r>
              <w:rPr>
                <w:b w:val="false"/>
                <w:bCs w:val="false"/>
                <w:color w:val="4A4A4A"/>
                <w:sz w:val="20"/>
                <w:szCs w:val="20"/>
              </w:rPr>
              <w:t xml:space="preserve">Session tokens (Redis)</w:t>
            </w:r>
          </w:p>
        </w:tc>
        <w:tc>
          <w:tcPr>
            <w:tcW w:type="dxa" w:w="4500"/>
            <w:shd w:fill="F9FAFB" w:val="clear"/>
            <w:vAlign w:val="center"/>
          </w:tcPr>
          <w:p>
            <w:pPr>
              <w:spacing w:after="60" w:before="60"/>
              <w:ind w:left="115"/>
            </w:pPr>
            <w:r>
              <w:rPr>
                <w:b w:val="false"/>
                <w:bCs w:val="false"/>
                <w:color w:val="4A4A4A"/>
                <w:sz w:val="20"/>
                <w:szCs w:val="20"/>
              </w:rPr>
              <w:t xml:space="preserve">7 days max then auto-expire</w:t>
            </w:r>
          </w:p>
        </w:tc>
      </w:tr>
      <w:tr>
        <w:tc>
          <w:tcPr>
            <w:tcW w:type="dxa" w:w="4500"/>
            <w:shd w:fill="FFFFFF" w:val="clear"/>
            <w:vAlign w:val="center"/>
          </w:tcPr>
          <w:p>
            <w:pPr>
              <w:spacing w:after="60" w:before="60"/>
              <w:ind w:left="115"/>
            </w:pPr>
            <w:r>
              <w:rPr>
                <w:b w:val="false"/>
                <w:bCs w:val="false"/>
                <w:color w:val="4A4A4A"/>
                <w:sz w:val="20"/>
                <w:szCs w:val="20"/>
              </w:rPr>
              <w:t xml:space="preserve">Backup snapshots</w:t>
            </w:r>
          </w:p>
        </w:tc>
        <w:tc>
          <w:tcPr>
            <w:tcW w:type="dxa" w:w="4500"/>
            <w:shd w:fill="FFFFFF" w:val="clear"/>
            <w:vAlign w:val="center"/>
          </w:tcPr>
          <w:p>
            <w:pPr>
              <w:spacing w:after="60" w:before="60"/>
              <w:ind w:left="115"/>
            </w:pPr>
            <w:r>
              <w:rPr>
                <w:b w:val="false"/>
                <w:bCs w:val="false"/>
                <w:color w:val="4A4A4A"/>
                <w:sz w:val="20"/>
                <w:szCs w:val="20"/>
              </w:rPr>
              <w:t xml:space="preserve">PostgreSQL: 35 days PITR. Neo4j: 30 days. S3 versioned objects: 7 years.</w:t>
            </w:r>
          </w:p>
        </w:tc>
      </w:tr>
    </w:tbl>
    <w:p>
      <w:pPr>
        <w:pStyle w:val="Heading2"/>
        <w:spacing w:after="120" w:before="320"/>
      </w:pPr>
      <w:r>
        <w:t xml:space="preserve">12.4 Right to Access and Erasure</w:t>
      </w:r>
    </w:p>
    <w:p>
      <w:pPr>
        <w:spacing w:after="60" w:before="60"/>
        <w:ind w:left="0"/>
      </w:pPr>
      <w:r>
        <w:rPr>
          <w:color w:val="4A4A4A"/>
          <w:sz w:val="22"/>
          <w:szCs w:val="22"/>
        </w:rPr>
        <w:t xml:space="preserve">The system supports data subject rights under Ethiopian law:</w:t>
      </w:r>
    </w:p>
    <w:p>
      <w:pPr>
        <w:pStyle w:val="ListParagraph"/>
        <w:numPr>
          <w:ilvl w:val="0"/>
          <w:numId w:val="2"/>
        </w:numPr>
        <w:spacing w:after="40" w:before="40"/>
      </w:pPr>
      <w:r>
        <w:rPr>
          <w:color w:val="4A4A4A"/>
          <w:sz w:val="21"/>
          <w:szCs w:val="21"/>
        </w:rPr>
        <w:t xml:space="preserve">Right to access: students and parents can request a full data export (JSON/PDF) of all records via a verified request to the school admin dashboard. Generated asynchronously and delivered via secure download link.</w:t>
      </w:r>
    </w:p>
    <w:p>
      <w:pPr>
        <w:pStyle w:val="ListParagraph"/>
        <w:numPr>
          <w:ilvl w:val="0"/>
          <w:numId w:val="2"/>
        </w:numPr>
        <w:spacing w:after="40" w:before="40"/>
      </w:pPr>
      <w:r>
        <w:rPr>
          <w:color w:val="4A4A4A"/>
          <w:sz w:val="21"/>
          <w:szCs w:val="21"/>
        </w:rPr>
        <w:t xml:space="preserve">Right to erasure: deletion of a student's PII is handled by a pseudo-anonymization function — name, national ID, and contact fields are replaced with a deterministic hash. Academic records are retained (required by law) but unlinked from personal identity. True erasure available only after retention period expires.</w:t>
      </w:r>
    </w:p>
    <w:p>
      <w:pPr>
        <w:pStyle w:val="ListParagraph"/>
        <w:numPr>
          <w:ilvl w:val="0"/>
          <w:numId w:val="2"/>
        </w:numPr>
        <w:spacing w:after="40" w:before="40"/>
      </w:pPr>
      <w:r>
        <w:rPr>
          <w:color w:val="4A4A4A"/>
          <w:sz w:val="21"/>
          <w:szCs w:val="21"/>
        </w:rPr>
        <w:t xml:space="preserve">Ministry and school admin erasure requests require dual approval (two authorized officers) and generate an immutable audit record even if the data is subsequently deleted.</w:t>
      </w:r>
    </w:p>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13 — Deployment Environments</w:t>
            </w:r>
          </w:p>
          <w:p>
            <w:pPr>
              <w:spacing w:after="80" w:before="40"/>
            </w:pPr>
            <w:r>
              <w:rPr>
                <w:i/>
                <w:iCs/>
                <w:color w:val="B3D4FF"/>
                <w:sz w:val="20"/>
                <w:szCs w:val="20"/>
              </w:rPr>
              <w:t xml:space="preserve">Development, staging, production, and DR</w:t>
            </w:r>
          </w:p>
        </w:tc>
      </w:tr>
    </w:tbl>
    <w:p>
      <w:pPr>
        <w:spacing w:after="60" w:before="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3000"/>
        <w:gridCol w:w="3000"/>
        <w:gridCol w:w="3000"/>
      </w:tblGrid>
      <w:tr>
        <w:trPr>
          <w:tblHeader/>
        </w:trPr>
        <w:tc>
          <w:tcPr>
            <w:tcW w:type="dxa" w:w="3000"/>
            <w:shd w:fill="1A4A7A" w:val="clear"/>
            <w:vAlign w:val="center"/>
          </w:tcPr>
          <w:p>
            <w:pPr>
              <w:spacing w:after="60" w:before="60"/>
              <w:ind w:left="115"/>
            </w:pPr>
            <w:r>
              <w:rPr>
                <w:b/>
                <w:bCs/>
                <w:color w:val="FFFFFF"/>
                <w:sz w:val="20"/>
                <w:szCs w:val="20"/>
              </w:rPr>
              <w:t xml:space="preserve">Environment</w:t>
            </w:r>
          </w:p>
        </w:tc>
        <w:tc>
          <w:tcPr>
            <w:tcW w:type="dxa" w:w="3000"/>
            <w:shd w:fill="1A4A7A" w:val="clear"/>
            <w:vAlign w:val="center"/>
          </w:tcPr>
          <w:p>
            <w:pPr>
              <w:spacing w:after="60" w:before="60"/>
              <w:ind w:left="115"/>
            </w:pPr>
            <w:r>
              <w:rPr>
                <w:b/>
                <w:bCs/>
                <w:color w:val="FFFFFF"/>
                <w:sz w:val="20"/>
                <w:szCs w:val="20"/>
              </w:rPr>
              <w:t xml:space="preserve">Purpose</w:t>
            </w:r>
          </w:p>
        </w:tc>
        <w:tc>
          <w:tcPr>
            <w:tcW w:type="dxa" w:w="3000"/>
            <w:shd w:fill="1A4A7A" w:val="clear"/>
            <w:vAlign w:val="center"/>
          </w:tcPr>
          <w:p>
            <w:pPr>
              <w:spacing w:after="60" w:before="60"/>
              <w:ind w:left="115"/>
            </w:pPr>
            <w:r>
              <w:rPr>
                <w:b/>
                <w:bCs/>
                <w:color w:val="FFFFFF"/>
                <w:sz w:val="20"/>
                <w:szCs w:val="20"/>
              </w:rPr>
              <w:t xml:space="preserve">Infrastructure</w:t>
            </w:r>
          </w:p>
        </w:tc>
      </w:tr>
      <w:tr>
        <w:tc>
          <w:tcPr>
            <w:tcW w:type="dxa" w:w="3000"/>
            <w:shd w:fill="FFFFFF" w:val="clear"/>
            <w:vAlign w:val="center"/>
          </w:tcPr>
          <w:p>
            <w:pPr>
              <w:spacing w:after="60" w:before="60"/>
              <w:ind w:left="115"/>
            </w:pPr>
            <w:r>
              <w:rPr>
                <w:b w:val="false"/>
                <w:bCs w:val="false"/>
                <w:color w:val="4A4A4A"/>
                <w:sz w:val="20"/>
                <w:szCs w:val="20"/>
              </w:rPr>
              <w:t xml:space="preserve">Environment</w:t>
            </w:r>
          </w:p>
        </w:tc>
        <w:tc>
          <w:tcPr>
            <w:tcW w:type="dxa" w:w="3000"/>
            <w:shd w:fill="FFFFFF" w:val="clear"/>
            <w:vAlign w:val="center"/>
          </w:tcPr>
          <w:p>
            <w:pPr>
              <w:spacing w:after="60" w:before="60"/>
              <w:ind w:left="115"/>
            </w:pPr>
            <w:r>
              <w:rPr>
                <w:b w:val="false"/>
                <w:bCs w:val="false"/>
                <w:color w:val="4A4A4A"/>
                <w:sz w:val="20"/>
                <w:szCs w:val="20"/>
              </w:rPr>
              <w:t xml:space="preserve">Purpose</w:t>
            </w:r>
          </w:p>
        </w:tc>
        <w:tc>
          <w:tcPr>
            <w:tcW w:type="dxa" w:w="3000"/>
            <w:shd w:fill="FFFFFF" w:val="clear"/>
            <w:vAlign w:val="center"/>
          </w:tcPr>
          <w:p>
            <w:pPr>
              <w:spacing w:after="60" w:before="60"/>
              <w:ind w:left="115"/>
            </w:pPr>
            <w:r>
              <w:rPr>
                <w:b w:val="false"/>
                <w:bCs w:val="false"/>
                <w:color w:val="4A4A4A"/>
                <w:sz w:val="20"/>
                <w:szCs w:val="20"/>
              </w:rPr>
              <w:t xml:space="preserve">Infrastructure</w:t>
            </w:r>
          </w:p>
        </w:tc>
      </w:tr>
      <w:tr>
        <w:tc>
          <w:tcPr>
            <w:tcW w:type="dxa" w:w="3000"/>
            <w:shd w:fill="F9FAFB" w:val="clear"/>
            <w:vAlign w:val="center"/>
          </w:tcPr>
          <w:p>
            <w:pPr>
              <w:spacing w:after="60" w:before="60"/>
              <w:ind w:left="115"/>
            </w:pPr>
            <w:r>
              <w:rPr>
                <w:b w:val="false"/>
                <w:bCs w:val="false"/>
                <w:color w:val="4A4A4A"/>
                <w:sz w:val="20"/>
                <w:szCs w:val="20"/>
              </w:rPr>
              <w:t xml:space="preserve">local</w:t>
            </w:r>
          </w:p>
        </w:tc>
        <w:tc>
          <w:tcPr>
            <w:tcW w:type="dxa" w:w="3000"/>
            <w:shd w:fill="F9FAFB" w:val="clear"/>
            <w:vAlign w:val="center"/>
          </w:tcPr>
          <w:p>
            <w:pPr>
              <w:spacing w:after="60" w:before="60"/>
              <w:ind w:left="115"/>
            </w:pPr>
            <w:r>
              <w:rPr>
                <w:b w:val="false"/>
                <w:bCs w:val="false"/>
                <w:color w:val="4A4A4A"/>
                <w:sz w:val="20"/>
                <w:szCs w:val="20"/>
              </w:rPr>
              <w:t xml:space="preserve">Developer laptops. Docker Compose. No cloud resources.</w:t>
            </w:r>
          </w:p>
        </w:tc>
        <w:tc>
          <w:tcPr>
            <w:tcW w:type="dxa" w:w="3000"/>
            <w:shd w:fill="F9FAFB" w:val="clear"/>
            <w:vAlign w:val="center"/>
          </w:tcPr>
          <w:p>
            <w:pPr>
              <w:spacing w:after="60" w:before="60"/>
              <w:ind w:left="115"/>
            </w:pPr>
            <w:r>
              <w:rPr>
                <w:b w:val="false"/>
                <w:bCs w:val="false"/>
                <w:color w:val="4A4A4A"/>
                <w:sz w:val="20"/>
                <w:szCs w:val="20"/>
              </w:rPr>
              <w:t xml:space="preserve">Docker Compose + Testcontainers</w:t>
            </w:r>
          </w:p>
        </w:tc>
      </w:tr>
      <w:tr>
        <w:tc>
          <w:tcPr>
            <w:tcW w:type="dxa" w:w="3000"/>
            <w:shd w:fill="FFFFFF" w:val="clear"/>
            <w:vAlign w:val="center"/>
          </w:tcPr>
          <w:p>
            <w:pPr>
              <w:spacing w:after="60" w:before="60"/>
              <w:ind w:left="115"/>
            </w:pPr>
            <w:r>
              <w:rPr>
                <w:b w:val="false"/>
                <w:bCs w:val="false"/>
                <w:color w:val="4A4A4A"/>
                <w:sz w:val="20"/>
                <w:szCs w:val="20"/>
              </w:rPr>
              <w:t xml:space="preserve">staging</w:t>
            </w:r>
          </w:p>
        </w:tc>
        <w:tc>
          <w:tcPr>
            <w:tcW w:type="dxa" w:w="3000"/>
            <w:shd w:fill="FFFFFF" w:val="clear"/>
            <w:vAlign w:val="center"/>
          </w:tcPr>
          <w:p>
            <w:pPr>
              <w:spacing w:after="60" w:before="60"/>
              <w:ind w:left="115"/>
            </w:pPr>
            <w:r>
              <w:rPr>
                <w:b w:val="false"/>
                <w:bCs w:val="false"/>
                <w:color w:val="4A4A4A"/>
                <w:sz w:val="20"/>
                <w:szCs w:val="20"/>
              </w:rPr>
              <w:t xml:space="preserve">Pre-production. Real infrastructure, 20% of prod capacity.</w:t>
            </w:r>
          </w:p>
        </w:tc>
        <w:tc>
          <w:tcPr>
            <w:tcW w:type="dxa" w:w="3000"/>
            <w:shd w:fill="FFFFFF" w:val="clear"/>
            <w:vAlign w:val="center"/>
          </w:tcPr>
          <w:p>
            <w:pPr>
              <w:spacing w:after="60" w:before="60"/>
              <w:ind w:left="115"/>
            </w:pPr>
            <w:r>
              <w:rPr>
                <w:b w:val="false"/>
                <w:bCs w:val="false"/>
                <w:color w:val="4A4A4A"/>
                <w:sz w:val="20"/>
                <w:szCs w:val="20"/>
              </w:rPr>
              <w:t xml:space="preserve">EKS (2 nodes), RDS small, ElastiCache small</w:t>
            </w:r>
          </w:p>
        </w:tc>
      </w:tr>
      <w:tr>
        <w:tc>
          <w:tcPr>
            <w:tcW w:type="dxa" w:w="3000"/>
            <w:shd w:fill="F9FAFB" w:val="clear"/>
            <w:vAlign w:val="center"/>
          </w:tcPr>
          <w:p>
            <w:pPr>
              <w:spacing w:after="60" w:before="60"/>
              <w:ind w:left="115"/>
            </w:pPr>
            <w:r>
              <w:rPr>
                <w:b w:val="false"/>
                <w:bCs w:val="false"/>
                <w:color w:val="4A4A4A"/>
                <w:sz w:val="20"/>
                <w:szCs w:val="20"/>
              </w:rPr>
              <w:t xml:space="preserve">production</w:t>
            </w:r>
          </w:p>
        </w:tc>
        <w:tc>
          <w:tcPr>
            <w:tcW w:type="dxa" w:w="3000"/>
            <w:shd w:fill="F9FAFB" w:val="clear"/>
            <w:vAlign w:val="center"/>
          </w:tcPr>
          <w:p>
            <w:pPr>
              <w:spacing w:after="60" w:before="60"/>
              <w:ind w:left="115"/>
            </w:pPr>
            <w:r>
              <w:rPr>
                <w:b w:val="false"/>
                <w:bCs w:val="false"/>
                <w:color w:val="4A4A4A"/>
                <w:sz w:val="20"/>
                <w:szCs w:val="20"/>
              </w:rPr>
              <w:t xml:space="preserve">Live system. Full capacity. Multi-AZ.</w:t>
            </w:r>
          </w:p>
        </w:tc>
        <w:tc>
          <w:tcPr>
            <w:tcW w:type="dxa" w:w="3000"/>
            <w:shd w:fill="F9FAFB" w:val="clear"/>
            <w:vAlign w:val="center"/>
          </w:tcPr>
          <w:p>
            <w:pPr>
              <w:spacing w:after="60" w:before="60"/>
              <w:ind w:left="115"/>
            </w:pPr>
            <w:r>
              <w:rPr>
                <w:b w:val="false"/>
                <w:bCs w:val="false"/>
                <w:color w:val="4A4A4A"/>
                <w:sz w:val="20"/>
                <w:szCs w:val="20"/>
              </w:rPr>
              <w:t xml:space="preserve">EKS (10–20 nodes autoscale), RDS Multi-AZ, ElastiCache cluster</w:t>
            </w:r>
          </w:p>
        </w:tc>
      </w:tr>
      <w:tr>
        <w:tc>
          <w:tcPr>
            <w:tcW w:type="dxa" w:w="3000"/>
            <w:shd w:fill="FFFFFF" w:val="clear"/>
            <w:vAlign w:val="center"/>
          </w:tcPr>
          <w:p>
            <w:pPr>
              <w:spacing w:after="60" w:before="60"/>
              <w:ind w:left="115"/>
            </w:pPr>
            <w:r>
              <w:rPr>
                <w:b w:val="false"/>
                <w:bCs w:val="false"/>
                <w:color w:val="4A4A4A"/>
                <w:sz w:val="20"/>
                <w:szCs w:val="20"/>
              </w:rPr>
              <w:t xml:space="preserve">dr</w:t>
            </w:r>
          </w:p>
        </w:tc>
        <w:tc>
          <w:tcPr>
            <w:tcW w:type="dxa" w:w="3000"/>
            <w:shd w:fill="FFFFFF" w:val="clear"/>
            <w:vAlign w:val="center"/>
          </w:tcPr>
          <w:p>
            <w:pPr>
              <w:spacing w:after="60" w:before="60"/>
              <w:ind w:left="115"/>
            </w:pPr>
            <w:r>
              <w:rPr>
                <w:b w:val="false"/>
                <w:bCs w:val="false"/>
                <w:color w:val="4A4A4A"/>
                <w:sz w:val="20"/>
                <w:szCs w:val="20"/>
              </w:rPr>
              <w:t xml:space="preserve">Disaster recovery. Passive — restored from S3 backups. RTO: 1 hour.</w:t>
            </w:r>
          </w:p>
        </w:tc>
        <w:tc>
          <w:tcPr>
            <w:tcW w:type="dxa" w:w="3000"/>
            <w:shd w:fill="FFFFFF" w:val="clear"/>
            <w:vAlign w:val="center"/>
          </w:tcPr>
          <w:p>
            <w:pPr>
              <w:spacing w:after="60" w:before="60"/>
              <w:ind w:left="115"/>
            </w:pPr>
            <w:r>
              <w:rPr>
                <w:b w:val="false"/>
                <w:bCs w:val="false"/>
                <w:color w:val="4A4A4A"/>
                <w:sz w:val="20"/>
                <w:szCs w:val="20"/>
              </w:rPr>
              <w:t xml:space="preserve">EKS (eu-west-1), standby RDS read replica</w:t>
            </w:r>
          </w:p>
        </w:tc>
      </w:tr>
      <w:tr>
        <w:tc>
          <w:tcPr>
            <w:tcW w:type="dxa" w:w="3000"/>
            <w:shd w:fill="F9FAFB" w:val="clear"/>
            <w:vAlign w:val="center"/>
          </w:tcPr>
          <w:p>
            <w:pPr>
              <w:spacing w:after="60" w:before="60"/>
              <w:ind w:left="115"/>
            </w:pPr>
            <w:r>
              <w:rPr>
                <w:b w:val="false"/>
                <w:bCs w:val="false"/>
                <w:color w:val="4A4A4A"/>
                <w:sz w:val="20"/>
                <w:szCs w:val="20"/>
              </w:rPr>
              <w:t xml:space="preserve">school-box</w:t>
            </w:r>
          </w:p>
        </w:tc>
        <w:tc>
          <w:tcPr>
            <w:tcW w:type="dxa" w:w="3000"/>
            <w:shd w:fill="F9FAFB" w:val="clear"/>
            <w:vAlign w:val="center"/>
          </w:tcPr>
          <w:p>
            <w:pPr>
              <w:spacing w:after="60" w:before="60"/>
              <w:ind w:left="115"/>
            </w:pPr>
            <w:r>
              <w:rPr>
                <w:b w:val="false"/>
                <w:bCs w:val="false"/>
                <w:color w:val="4A4A4A"/>
                <w:sz w:val="20"/>
                <w:szCs w:val="20"/>
              </w:rPr>
              <w:t xml:space="preserve">Physical hardware at each school. Offline-capable.</w:t>
            </w:r>
          </w:p>
        </w:tc>
        <w:tc>
          <w:tcPr>
            <w:tcW w:type="dxa" w:w="3000"/>
            <w:shd w:fill="F9FAFB" w:val="clear"/>
            <w:vAlign w:val="center"/>
          </w:tcPr>
          <w:p>
            <w:pPr>
              <w:spacing w:after="60" w:before="60"/>
              <w:ind w:left="115"/>
            </w:pPr>
            <w:r>
              <w:rPr>
                <w:b w:val="false"/>
                <w:bCs w:val="false"/>
                <w:color w:val="4A4A4A"/>
                <w:sz w:val="20"/>
                <w:szCs w:val="20"/>
              </w:rPr>
              <w:t xml:space="preserve">Docker Compose on local Ubuntu Server</w:t>
            </w:r>
          </w:p>
        </w:tc>
      </w:tr>
    </w:tbl>
    <w:p>
      <w:pPr>
        <w:pStyle w:val="Heading2"/>
        <w:spacing w:after="120" w:before="320"/>
      </w:pPr>
      <w:r>
        <w:t xml:space="preserve">13.1 Environment Promotion</w:t>
      </w:r>
    </w:p>
    <w:p>
      <w:pPr>
        <w:spacing w:after="60" w:before="60"/>
        <w:ind w:left="0"/>
      </w:pPr>
      <w:r>
        <w:rPr>
          <w:color w:val="4A4A4A"/>
          <w:sz w:val="22"/>
          <w:szCs w:val="22"/>
        </w:rPr>
        <w:t xml:space="preserve">All code flows through: feature branch → staging (automatic on merge to main) → production (manual gate, requires senior engineer approval). Database migrations run automatically via Flyway as part of the deployment. Migrations are always backward-compatible — no breaking schema changes that would require downtime.</w:t>
      </w:r>
    </w:p>
    <w:p>
      <w:r>
        <w:br w:type="page"/>
      </w:r>
    </w:p>
    <w:tbl>
      <w:tblPr>
        <w:tblW w:type="pct" w:w="100%"/>
        <w:tblBorders>
          <w:top w:val="none"/>
          <w:left w:val="none"/>
          <w:bottom w:val="none"/>
          <w:right w:val="none"/>
          <w:insideH w:val="single" w:color="auto" w:sz="4"/>
          <w:insideV w:val="single" w:color="auto" w:sz="4"/>
        </w:tblBorders>
      </w:tblPr>
      <w:tblGrid>
        <w:gridCol w:w="100"/>
      </w:tblGrid>
      <w:tr>
        <w:tc>
          <w:tcPr>
            <w:tcW w:type="pct" w:w="100%"/>
            <w:tcBorders>
              <w:top w:val="none"/>
              <w:left w:val="none"/>
              <w:bottom w:val="none"/>
              <w:right w:val="none"/>
            </w:tcBorders>
            <w:shd w:fill="1A4A7A" w:val="clear"/>
          </w:tcPr>
          <w:p>
            <w:pPr>
              <w:spacing w:after="0" w:before="80"/>
            </w:pPr>
            <w:r>
              <w:rPr>
                <w:rFonts w:ascii="Calibri" w:cs="Calibri" w:eastAsia="Calibri" w:hAnsi="Calibri"/>
                <w:b/>
                <w:bCs/>
                <w:color w:val="FFFFFF"/>
                <w:sz w:val="28"/>
                <w:szCs w:val="28"/>
              </w:rPr>
              <w:t xml:space="preserve">14 — Key Architecture Decisions</w:t>
            </w:r>
          </w:p>
          <w:p>
            <w:pPr>
              <w:spacing w:after="80" w:before="40"/>
            </w:pPr>
            <w:r>
              <w:rPr>
                <w:i/>
                <w:iCs/>
                <w:color w:val="B3D4FF"/>
                <w:sz w:val="20"/>
                <w:szCs w:val="20"/>
              </w:rPr>
              <w:t xml:space="preserve">Rationale behind major technology choices</w:t>
            </w:r>
          </w:p>
        </w:tc>
      </w:tr>
    </w:tbl>
    <w:p>
      <w:pPr>
        <w:spacing w:after="60" w:before="60"/>
      </w:pPr>
    </w:p>
    <w:p>
      <w:pPr>
        <w:pStyle w:val="Heading2"/>
        <w:spacing w:after="120" w:before="320"/>
      </w:pPr>
      <w:r>
        <w:t xml:space="preserve">ADR-001: Go over Node.js for Core API</w:t>
      </w:r>
    </w:p>
    <w:p>
      <w:pPr>
        <w:spacing w:after="60" w:before="60"/>
        <w:ind w:left="0"/>
      </w:pPr>
      <w:r>
        <w:rPr>
          <w:color w:val="4A4A4A"/>
          <w:sz w:val="22"/>
          <w:szCs w:val="22"/>
        </w:rPr>
        <w:t xml:space="preserve">Decision: Use Go for the primary backend API. Considered: Node.js (Express/Fastify), Python (FastAPI), Java (Spring Boot).</w:t>
      </w:r>
    </w:p>
    <w:p>
      <w:pPr>
        <w:spacing w:after="60" w:before="60"/>
        <w:ind w:left="0"/>
      </w:pPr>
      <w:r>
        <w:rPr>
          <w:color w:val="4A4A4A"/>
          <w:sz w:val="22"/>
          <w:szCs w:val="22"/>
        </w:rPr>
        <w:t xml:space="preserve">Rationale: Go's goroutine model handles 50,000+ concurrent WebSocket connections at &lt;2KB memory/connection — Node.js requires 8–10KB. Go compiles to a single binary with no runtime, reducing container size and startup time. Go's static typing catches bugs at compile time. The tradeoff is a smaller hiring pool than Node.js, mitigated by Go's simplicity.</w:t>
      </w:r>
    </w:p>
    <w:p>
      <w:pPr>
        <w:pStyle w:val="Heading2"/>
        <w:spacing w:after="120" w:before="320"/>
      </w:pPr>
      <w:r>
        <w:t xml:space="preserve">ADR-002: Neo4j alongside PostgreSQL</w:t>
      </w:r>
    </w:p>
    <w:p>
      <w:pPr>
        <w:spacing w:after="60" w:before="60"/>
        <w:ind w:left="0"/>
      </w:pPr>
      <w:r>
        <w:rPr>
          <w:color w:val="4A4A4A"/>
          <w:sz w:val="22"/>
          <w:szCs w:val="22"/>
        </w:rPr>
        <w:t xml:space="preserve">Decision: Use Neo4j for the curriculum knowledge graph; PostgreSQL for all transactional data. Considered: PostgreSQL-only with recursive CTEs, Apache AGE (graph extension for PG).</w:t>
      </w:r>
    </w:p>
    <w:p>
      <w:pPr>
        <w:spacing w:after="60" w:before="60"/>
        <w:ind w:left="0"/>
      </w:pPr>
      <w:r>
        <w:rPr>
          <w:color w:val="4A4A4A"/>
          <w:sz w:val="22"/>
          <w:szCs w:val="22"/>
        </w:rPr>
        <w:t xml:space="preserve">Rationale: Variable-depth prerequisite traversal (MATCH (topic)-[:PREREQUISITE_OF*1..5]-&gt;) is a graph-native operation. PostgreSQL recursive CTEs for this become fragile and slow at depth &gt;3. Neo4j GDS library provides native topological sort for study plan ordering. The operational cost of maintaining two databases is offset by the query expressiveness gained. Apache AGE was considered but is less mature and would require PostgreSQL expertise in graph query optimization.</w:t>
      </w:r>
    </w:p>
    <w:p>
      <w:pPr>
        <w:pStyle w:val="Heading2"/>
        <w:spacing w:after="120" w:before="320"/>
      </w:pPr>
      <w:r>
        <w:t xml:space="preserve">ADR-003: ElectricSQL for offline sync over custom solution</w:t>
      </w:r>
    </w:p>
    <w:p>
      <w:pPr>
        <w:spacing w:after="60" w:before="60"/>
        <w:ind w:left="0"/>
      </w:pPr>
      <w:r>
        <w:rPr>
          <w:color w:val="4A4A4A"/>
          <w:sz w:val="22"/>
          <w:szCs w:val="22"/>
        </w:rPr>
        <w:t xml:space="preserve">Decision: Use ElectricSQL for offline-to-cloud sync. Considered: custom sync engine, Couchbase Lite, PowerSync.</w:t>
      </w:r>
    </w:p>
    <w:p>
      <w:pPr>
        <w:spacing w:after="60" w:before="60"/>
        <w:ind w:left="0"/>
      </w:pPr>
      <w:r>
        <w:rPr>
          <w:color w:val="4A4A4A"/>
          <w:sz w:val="22"/>
          <w:szCs w:val="22"/>
        </w:rPr>
        <w:t xml:space="preserve">Rationale: ElectricSQL is built on Postgres → Postgres replication using proven CRDT semantics. It handles the hardest problem (conflict resolution) with well-tested merge rules. A custom sync solution would take 6–12 months to reach production-grade reliability. PowerSync was the nearest alternative but requires a proprietary cloud service, creating a vendor lock dependency for a national system. ElectricSQL is open-source and self-hostable.</w:t>
      </w:r>
    </w:p>
    <w:p>
      <w:pPr>
        <w:pStyle w:val="Heading2"/>
        <w:spacing w:after="120" w:before="320"/>
      </w:pPr>
      <w:r>
        <w:t xml:space="preserve">ADR-004: Python AI service isolation</w:t>
      </w:r>
    </w:p>
    <w:p>
      <w:pPr>
        <w:spacing w:after="60" w:before="60"/>
        <w:ind w:left="0"/>
      </w:pPr>
      <w:r>
        <w:rPr>
          <w:color w:val="4A4A4A"/>
          <w:sz w:val="22"/>
          <w:szCs w:val="22"/>
        </w:rPr>
        <w:t xml:space="preserve">Decision: Run AI inference in a separate Python FastAPI service rather than embedding it in the Go API. Considered: Go LLM libraries (llm.go), embedding AI calls in Go via subprocess.</w:t>
      </w:r>
    </w:p>
    <w:p>
      <w:pPr>
        <w:spacing w:after="60" w:before="60"/>
        <w:ind w:left="0"/>
      </w:pPr>
      <w:r>
        <w:rPr>
          <w:color w:val="4A4A4A"/>
          <w:sz w:val="22"/>
          <w:szCs w:val="22"/>
        </w:rPr>
        <w:t xml:space="preserve">Rationale: GPU drivers, CUDA, Ollama, LangChain, and the Hugging Face ecosystem are all Python-first. Attempting to use these from Go via CGO or subprocess calls adds complexity without benefit. Isolation also means AI service failures do not crash the core API, and the AI service can be scaled on GPU nodes independently.</w:t>
      </w:r>
    </w:p>
    <w:p>
      <w:pPr>
        <w:pStyle w:val="Heading2"/>
        <w:spacing w:after="120" w:before="320"/>
      </w:pPr>
      <w:r>
        <w:t xml:space="preserve">ADR-005: Kong over AWS API Gateway</w:t>
      </w:r>
    </w:p>
    <w:p>
      <w:pPr>
        <w:spacing w:after="60" w:before="60"/>
        <w:ind w:left="0"/>
      </w:pPr>
      <w:r>
        <w:rPr>
          <w:color w:val="4A4A4A"/>
          <w:sz w:val="22"/>
          <w:szCs w:val="22"/>
        </w:rPr>
        <w:t xml:space="preserve">Decision: Use Kong Gateway (self-hosted on EKS) over AWS API Gateway. Considered: AWS API Gateway v2, Traefik, Nginx.</w:t>
      </w:r>
    </w:p>
    <w:p>
      <w:pPr>
        <w:spacing w:after="60" w:before="60"/>
        <w:ind w:left="0"/>
      </w:pPr>
      <w:r>
        <w:rPr>
          <w:color w:val="4A4A4A"/>
          <w:sz w:val="22"/>
          <w:szCs w:val="22"/>
        </w:rPr>
        <w:t xml:space="preserve">Rationale: AWS API Gateway has a 29MB request payload limit (blocks large exam file uploads), $3.50/million requests cost at scale (expensive at 26M students), and limited plugin flexibility. Kong self-hosted has no per-request cost, supports custom Lua plugins, and runs on EKS alongside other services. The operational overhead of managing Kong is offset by the cost savings and flexibility at national scale.</w:t>
      </w:r>
    </w:p>
    <w:p>
      <w:pPr>
        <w:spacing w:after="60" w:before="60"/>
      </w:pPr>
    </w:p>
    <w:p>
      <w:pPr>
        <w:spacing w:after="60" w:before="60"/>
      </w:pPr>
    </w:p>
    <w:p>
      <w:pPr>
        <w:pBdr>
          <w:top w:val="single" w:color="2E7D52" w:sz="8"/>
        </w:pBdr>
        <w:spacing w:after="80" w:before="200"/>
      </w:pPr>
    </w:p>
    <w:p>
      <w:pPr>
        <w:spacing w:after="40" w:before="60"/>
        <w:jc w:val="center"/>
      </w:pPr>
      <w:r>
        <w:rPr>
          <w:i/>
          <w:iCs/>
          <w:color w:val="6B7280"/>
          <w:sz w:val="18"/>
          <w:szCs w:val="18"/>
        </w:rPr>
        <w:t xml:space="preserve">EduGraph AI — System Architecture Document v1.0  ·  June 2026  ·  CONFIDENTIAL</w:t>
      </w:r>
    </w:p>
    <w:p>
      <w:pPr>
        <w:jc w:val="center"/>
      </w:pPr>
      <w:r>
        <w:rPr>
          <w:color w:val="6B7280"/>
          <w:sz w:val="18"/>
          <w:szCs w:val="18"/>
        </w:rPr>
        <w:t xml:space="preserve">Built for AASTU Innovation Program — Addis Ababa Science and Technology University</w:t>
      </w:r>
    </w:p>
    <w:sectPr>
      <w:pgSz w:w="11906" w:h="16838" w:orient="portrait"/>
      <w:pgMar w:top="1584" w:right="1584" w:bottom="1584"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20"/>
        <w:szCs w:val="20"/>
      </w:rPr>
    </w:lvl>
    <w:lvl w:ilvl="1" w15:tentative="1">
      <w:start w:val="1"/>
      <w:numFmt w:val="bullet"/>
      <w:lvlText w:val="◦"/>
      <w:lvlJc w:val="left"/>
      <w:pPr>
        <w:ind w:left="1008" w:hanging="288"/>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pPr>
    <w:rPr>
      <w:rFonts w:ascii="Calibri" w:cs="Calibri" w:eastAsia="Calibri" w:hAnsi="Calibri"/>
      <w:b/>
      <w:bCs/>
      <w:color w:val="1A1A2E"/>
      <w:sz w:val="36"/>
      <w:szCs w:val="36"/>
    </w:rPr>
  </w:style>
  <w:style w:type="paragraph" w:styleId="Heading2">
    <w:name w:val="Heading 2"/>
    <w:basedOn w:val="Normal"/>
    <w:next w:val="Normal"/>
    <w:qFormat/>
    <w:pPr>
      <w:spacing w:after="100" w:before="320"/>
    </w:pPr>
    <w:rPr>
      <w:rFonts w:ascii="Calibri" w:cs="Calibri" w:eastAsia="Calibri" w:hAnsi="Calibri"/>
      <w:b/>
      <w:bCs/>
      <w:color w:val="1A4A7A"/>
      <w:sz w:val="28"/>
      <w:szCs w:val="28"/>
    </w:rPr>
  </w:style>
  <w:style w:type="paragraph" w:styleId="Heading3">
    <w:name w:val="Heading 3"/>
    <w:basedOn w:val="Normal"/>
    <w:next w:val="Normal"/>
    <w:qFormat/>
    <w:pPr>
      <w:spacing w:after="80" w:before="240"/>
    </w:pPr>
    <w:rPr>
      <w:rFonts w:ascii="Calibri" w:cs="Calibri" w:eastAsia="Calibri" w:hAnsi="Calibri"/>
      <w:b/>
      <w:bCs/>
      <w:color w:val="2E7D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2026-07-01T08:51:16.578Z</dcterms:created>
  <dcterms:modified xsi:type="dcterms:W3CDTF">2026-07-01T08:51:16.592Z</dcterms:modified>
</cp:coreProperties>
</file>

<file path=docProps/custom.xml><?xml version="1.0" encoding="utf-8"?>
<Properties xmlns="http://schemas.openxmlformats.org/officeDocument/2006/custom-properties" xmlns:vt="http://schemas.openxmlformats.org/officeDocument/2006/docPropsVTypes"/>
</file>