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5F"/>
          <w:sz w:val="68"/>
        </w:rPr>
        <w:t>EduGraph AI</w:t>
      </w:r>
    </w:p>
    <w:p>
      <w:pPr>
        <w:jc w:val="center"/>
      </w:pPr>
      <w:r>
        <w:rPr>
          <w:color w:val="2E6DA4"/>
          <w:sz w:val="32"/>
        </w:rPr>
        <w:t>Project Progress &amp; Production-Readiness Report</w:t>
      </w:r>
    </w:p>
    <w:p>
      <w:pPr>
        <w:jc w:val="center"/>
      </w:pPr>
      <w:r>
        <w:rPr>
          <w:color w:val="555555"/>
          <w:sz w:val="22"/>
        </w:rPr>
        <w:t>Curriculum-Intelligence Platform for Ethiopian K-12 Education</w:t>
        <w:br/>
      </w:r>
      <w:r>
        <w:rPr>
          <w:i/>
          <w:color w:val="555555"/>
          <w:sz w:val="20"/>
        </w:rPr>
        <w:t>Generated 2026-08-16  •  Branch: feature/eg-gckt-qa-validation</w:t>
      </w:r>
    </w:p>
    <w:p/>
    <w:p>
      <w:r>
        <w:rPr>
          <w:b w:val="0"/>
          <w:i/>
          <w:color w:val="555555"/>
        </w:rPr>
        <w:t>This report captures the full arc of the project: the product idea, the system architecture, every implemented feature, what has been verified versus what remains unproven, the known gaps, and the roadmap still ahead. It supersedes the initial progress report and now reflects the Production Completion Roadmap (Phases 0-12) landed on this branch.</w:t>
      </w:r>
    </w:p>
    <w:p>
      <w:r>
        <w:br w:type="page"/>
      </w:r>
    </w:p>
    <w:p>
      <w:pPr>
        <w:pStyle w:val="Heading1"/>
      </w:pPr>
      <w:r>
        <w:rPr>
          <w:color w:val="1F3A5F"/>
        </w:rPr>
        <w:t>1.  The Idea</w:t>
      </w:r>
    </w:p>
    <w:p>
      <w:r>
        <w:rPr>
          <w:b w:val="0"/>
          <w:i w:val="0"/>
        </w:rPr>
        <w:t>EduGraph AI turns raw Ethiopian Ministry of Education curriculum documents into a living knowledge graph, then uses that graph to diagnose why individual students struggle, generate personalized study plans, and give teachers and administrators a curriculum-aware view of learning across schools, regions, and the nation.</w:t>
      </w:r>
    </w:p>
    <w:p>
      <w:r>
        <w:rPr>
          <w:b/>
          <w:i w:val="0"/>
        </w:rPr>
        <w:t>The platform is built around a few core beliefs:</w:t>
      </w:r>
    </w:p>
    <w:p>
      <w:pPr>
        <w:pStyle w:val="ListBullet"/>
      </w:pPr>
      <w:r>
        <w:rPr>
          <w:b/>
        </w:rPr>
        <w:t>Topics have prerequisites; a student fails a topic because an upstream prerequisite was never mastered. Modeling that graph is what makes root-cause diagnosis possible.</w:t>
      </w:r>
      <w:r>
        <w:t xml:space="preserve">Curriculum is a graph, not a list. </w:t>
      </w:r>
    </w:p>
    <w:p>
      <w:pPr>
        <w:pStyle w:val="ListBullet"/>
      </w:pPr>
      <w:r>
        <w:rPr>
          <w:b/>
        </w:rPr>
        <w:t>The learner-modeling engines report insufficient_data honestly instead of fabricating benchmark numbers when real interaction data does not yet exist.</w:t>
      </w:r>
      <w:r>
        <w:t xml:space="preserve">Say 'unknown' rather than manufacture confidence. </w:t>
      </w:r>
    </w:p>
    <w:p>
      <w:pPr>
        <w:pStyle w:val="ListBullet"/>
      </w:pPr>
      <w:r>
        <w:rPr>
          <w:b/>
        </w:rPr>
        <w:t>AI proposes (parsed structure, inferred prerequisites, misconception hypotheses); a curriculum officer or teacher confirms before anything becomes authoritative.</w:t>
      </w:r>
      <w:r>
        <w:t xml:space="preserve">Human-in-the-loop over full automation. </w:t>
      </w:r>
    </w:p>
    <w:p>
      <w:pPr>
        <w:pStyle w:val="ListBullet"/>
      </w:pPr>
      <w:r>
        <w:rPr>
          <w:b/>
        </w:rPr>
        <w:t>The entire stack runs on a laptop via Docker Compose — a deliberate design choice so schools with limited connectivity (the 'School Box' deployment) are first-class, not an afterthought.</w:t>
      </w:r>
      <w:r>
        <w:t xml:space="preserve">Runs locally first. </w:t>
      </w:r>
    </w:p>
    <w:p>
      <w:pPr>
        <w:pStyle w:val="Heading1"/>
      </w:pPr>
      <w:r>
        <w:rPr>
          <w:color w:val="1F3A5F"/>
        </w:rPr>
        <w:t>2.  System Architecture</w:t>
      </w:r>
    </w:p>
    <w:p>
      <w:r>
        <w:rPr>
          <w:b w:val="0"/>
          <w:i w:val="0"/>
        </w:rPr>
        <w:t>EduGraph AI is a service-oriented stack orchestrated by Docker Compose. Postgres moved to hosted Supabase on 2026-08-10; everything else runs locally.</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728"/>
            <w:shd w:val="clear" w:color="auto" w:fill="1F3A5F"/>
          </w:tcPr>
          <w:p>
            <w:r/>
            <w:r>
              <w:rPr>
                <w:b/>
                <w:color w:val="FFFFFF"/>
                <w:sz w:val="19"/>
              </w:rPr>
              <w:t>Service</w:t>
            </w:r>
          </w:p>
        </w:tc>
        <w:tc>
          <w:tcPr>
            <w:tcW w:type="dxa" w:w="2736"/>
            <w:shd w:val="clear" w:color="auto" w:fill="1F3A5F"/>
          </w:tcPr>
          <w:p>
            <w:r/>
            <w:r>
              <w:rPr>
                <w:b/>
                <w:color w:val="FFFFFF"/>
                <w:sz w:val="19"/>
              </w:rPr>
              <w:t>Tech</w:t>
            </w:r>
          </w:p>
        </w:tc>
        <w:tc>
          <w:tcPr>
            <w:tcW w:type="dxa" w:w="4320"/>
            <w:shd w:val="clear" w:color="auto" w:fill="1F3A5F"/>
          </w:tcPr>
          <w:p>
            <w:r/>
            <w:r>
              <w:rPr>
                <w:b/>
                <w:color w:val="FFFFFF"/>
                <w:sz w:val="19"/>
              </w:rPr>
              <w:t>Role</w:t>
            </w:r>
          </w:p>
        </w:tc>
        <w:tc>
          <w:tcPr>
            <w:tcW w:type="dxa" w:w="864"/>
            <w:shd w:val="clear" w:color="auto" w:fill="1F3A5F"/>
          </w:tcPr>
          <w:p>
            <w:r/>
            <w:r>
              <w:rPr>
                <w:b/>
                <w:color w:val="FFFFFF"/>
                <w:sz w:val="19"/>
              </w:rPr>
              <w:t>Port</w:t>
            </w:r>
          </w:p>
        </w:tc>
      </w:tr>
      <w:tr>
        <w:tc>
          <w:tcPr>
            <w:tcW w:type="dxa" w:w="1728"/>
          </w:tcPr>
          <w:p>
            <w:r/>
            <w:r>
              <w:rPr>
                <w:sz w:val="18"/>
              </w:rPr>
              <w:t>api</w:t>
            </w:r>
          </w:p>
        </w:tc>
        <w:tc>
          <w:tcPr>
            <w:tcW w:type="dxa" w:w="2736"/>
          </w:tcPr>
          <w:p>
            <w:r/>
            <w:r>
              <w:rPr>
                <w:sz w:val="18"/>
              </w:rPr>
              <w:t>Go 1.22 (chi, manual DI)</w:t>
            </w:r>
          </w:p>
        </w:tc>
        <w:tc>
          <w:tcPr>
            <w:tcW w:type="dxa" w:w="4320"/>
          </w:tcPr>
          <w:p>
            <w:r/>
            <w:r>
              <w:rPr>
                <w:sz w:val="18"/>
              </w:rPr>
              <w:t>Monolith REST API, RBAC, storage adapter, Neo4j sync</w:t>
            </w:r>
          </w:p>
        </w:tc>
        <w:tc>
          <w:tcPr>
            <w:tcW w:type="dxa" w:w="864"/>
          </w:tcPr>
          <w:p>
            <w:r/>
            <w:r>
              <w:rPr>
                <w:sz w:val="18"/>
              </w:rPr>
              <w:t>8080</w:t>
            </w:r>
          </w:p>
        </w:tc>
      </w:tr>
      <w:tr>
        <w:tc>
          <w:tcPr>
            <w:tcW w:type="dxa" w:w="1728"/>
            <w:shd w:val="clear" w:color="auto" w:fill="EEF3F9"/>
          </w:tcPr>
          <w:p>
            <w:r/>
            <w:r>
              <w:rPr>
                <w:sz w:val="18"/>
              </w:rPr>
              <w:t>ai-service</w:t>
            </w:r>
          </w:p>
        </w:tc>
        <w:tc>
          <w:tcPr>
            <w:tcW w:type="dxa" w:w="2736"/>
            <w:shd w:val="clear" w:color="auto" w:fill="EEF3F9"/>
          </w:tcPr>
          <w:p>
            <w:r/>
            <w:r>
              <w:rPr>
                <w:sz w:val="18"/>
              </w:rPr>
              <w:t>Python 3.12 FastAPI</w:t>
            </w:r>
          </w:p>
        </w:tc>
        <w:tc>
          <w:tcPr>
            <w:tcW w:type="dxa" w:w="4320"/>
            <w:shd w:val="clear" w:color="auto" w:fill="EEF3F9"/>
          </w:tcPr>
          <w:p>
            <w:r/>
            <w:r>
              <w:rPr>
                <w:sz w:val="18"/>
              </w:rPr>
              <w:t>8 background workers + tutor HTTP route</w:t>
            </w:r>
          </w:p>
        </w:tc>
        <w:tc>
          <w:tcPr>
            <w:tcW w:type="dxa" w:w="864"/>
            <w:shd w:val="clear" w:color="auto" w:fill="EEF3F9"/>
          </w:tcPr>
          <w:p>
            <w:r/>
            <w:r>
              <w:rPr>
                <w:sz w:val="18"/>
              </w:rPr>
              <w:t>8000</w:t>
            </w:r>
          </w:p>
        </w:tc>
      </w:tr>
      <w:tr>
        <w:tc>
          <w:tcPr>
            <w:tcW w:type="dxa" w:w="1728"/>
          </w:tcPr>
          <w:p>
            <w:r/>
            <w:r>
              <w:rPr>
                <w:sz w:val="18"/>
              </w:rPr>
              <w:t>frontend</w:t>
            </w:r>
          </w:p>
        </w:tc>
        <w:tc>
          <w:tcPr>
            <w:tcW w:type="dxa" w:w="2736"/>
          </w:tcPr>
          <w:p>
            <w:r/>
            <w:r>
              <w:rPr>
                <w:sz w:val="18"/>
              </w:rPr>
              <w:t>React 18 + TS + Vite</w:t>
            </w:r>
          </w:p>
        </w:tc>
        <w:tc>
          <w:tcPr>
            <w:tcW w:type="dxa" w:w="4320"/>
          </w:tcPr>
          <w:p>
            <w:r/>
            <w:r>
              <w:rPr>
                <w:sz w:val="18"/>
              </w:rPr>
              <w:t>Role dashboards for all 6 roles</w:t>
            </w:r>
          </w:p>
        </w:tc>
        <w:tc>
          <w:tcPr>
            <w:tcW w:type="dxa" w:w="864"/>
          </w:tcPr>
          <w:p>
            <w:r/>
            <w:r>
              <w:rPr>
                <w:sz w:val="18"/>
              </w:rPr>
              <w:t>5173</w:t>
            </w:r>
          </w:p>
        </w:tc>
      </w:tr>
      <w:tr>
        <w:tc>
          <w:tcPr>
            <w:tcW w:type="dxa" w:w="1728"/>
            <w:shd w:val="clear" w:color="auto" w:fill="EEF3F9"/>
          </w:tcPr>
          <w:p>
            <w:r/>
            <w:r>
              <w:rPr>
                <w:sz w:val="18"/>
              </w:rPr>
              <w:t>postgres</w:t>
            </w:r>
          </w:p>
        </w:tc>
        <w:tc>
          <w:tcPr>
            <w:tcW w:type="dxa" w:w="2736"/>
            <w:shd w:val="clear" w:color="auto" w:fill="EEF3F9"/>
          </w:tcPr>
          <w:p>
            <w:r/>
            <w:r>
              <w:rPr>
                <w:sz w:val="18"/>
              </w:rPr>
              <w:t>Supabase (hosted)</w:t>
            </w:r>
          </w:p>
        </w:tc>
        <w:tc>
          <w:tcPr>
            <w:tcW w:type="dxa" w:w="4320"/>
            <w:shd w:val="clear" w:color="auto" w:fill="EEF3F9"/>
          </w:tcPr>
          <w:p>
            <w:r/>
            <w:r>
              <w:rPr>
                <w:sz w:val="18"/>
              </w:rPr>
              <w:t>System of record; local fallback via profile</w:t>
            </w:r>
          </w:p>
        </w:tc>
        <w:tc>
          <w:tcPr>
            <w:tcW w:type="dxa" w:w="864"/>
            <w:shd w:val="clear" w:color="auto" w:fill="EEF3F9"/>
          </w:tcPr>
          <w:p>
            <w:r/>
            <w:r>
              <w:rPr>
                <w:sz w:val="18"/>
              </w:rPr>
              <w:t>5432</w:t>
            </w:r>
          </w:p>
        </w:tc>
      </w:tr>
      <w:tr>
        <w:tc>
          <w:tcPr>
            <w:tcW w:type="dxa" w:w="1728"/>
          </w:tcPr>
          <w:p>
            <w:r/>
            <w:r>
              <w:rPr>
                <w:sz w:val="18"/>
              </w:rPr>
              <w:t>neo4j</w:t>
            </w:r>
          </w:p>
        </w:tc>
        <w:tc>
          <w:tcPr>
            <w:tcW w:type="dxa" w:w="2736"/>
          </w:tcPr>
          <w:p>
            <w:r/>
            <w:r>
              <w:rPr>
                <w:sz w:val="18"/>
              </w:rPr>
              <w:t>Neo4j (local)</w:t>
            </w:r>
          </w:p>
        </w:tc>
        <w:tc>
          <w:tcPr>
            <w:tcW w:type="dxa" w:w="4320"/>
          </w:tcPr>
          <w:p>
            <w:r/>
            <w:r>
              <w:rPr>
                <w:sz w:val="18"/>
              </w:rPr>
              <w:t>Curriculum + student-progress knowledge graph</w:t>
            </w:r>
          </w:p>
        </w:tc>
        <w:tc>
          <w:tcPr>
            <w:tcW w:type="dxa" w:w="864"/>
          </w:tcPr>
          <w:p>
            <w:r/>
            <w:r>
              <w:rPr>
                <w:sz w:val="18"/>
              </w:rPr>
              <w:t>7687</w:t>
            </w:r>
          </w:p>
        </w:tc>
      </w:tr>
      <w:tr>
        <w:tc>
          <w:tcPr>
            <w:tcW w:type="dxa" w:w="1728"/>
            <w:shd w:val="clear" w:color="auto" w:fill="EEF3F9"/>
          </w:tcPr>
          <w:p>
            <w:r/>
            <w:r>
              <w:rPr>
                <w:sz w:val="18"/>
              </w:rPr>
              <w:t>redis</w:t>
            </w:r>
          </w:p>
        </w:tc>
        <w:tc>
          <w:tcPr>
            <w:tcW w:type="dxa" w:w="2736"/>
            <w:shd w:val="clear" w:color="auto" w:fill="EEF3F9"/>
          </w:tcPr>
          <w:p>
            <w:r/>
            <w:r>
              <w:rPr>
                <w:sz w:val="18"/>
              </w:rPr>
              <w:t>Redis (local)</w:t>
            </w:r>
          </w:p>
        </w:tc>
        <w:tc>
          <w:tcPr>
            <w:tcW w:type="dxa" w:w="4320"/>
            <w:shd w:val="clear" w:color="auto" w:fill="EEF3F9"/>
          </w:tcPr>
          <w:p>
            <w:r/>
            <w:r>
              <w:rPr>
                <w:sz w:val="18"/>
              </w:rPr>
              <w:t>6 job queues + refresh tokens + quality cache</w:t>
            </w:r>
          </w:p>
        </w:tc>
        <w:tc>
          <w:tcPr>
            <w:tcW w:type="dxa" w:w="864"/>
            <w:shd w:val="clear" w:color="auto" w:fill="EEF3F9"/>
          </w:tcPr>
          <w:p>
            <w:r/>
            <w:r>
              <w:rPr>
                <w:sz w:val="18"/>
              </w:rPr>
              <w:t>6379</w:t>
            </w:r>
          </w:p>
        </w:tc>
      </w:tr>
      <w:tr>
        <w:tc>
          <w:tcPr>
            <w:tcW w:type="dxa" w:w="1728"/>
          </w:tcPr>
          <w:p>
            <w:r/>
            <w:r>
              <w:rPr>
                <w:sz w:val="18"/>
              </w:rPr>
              <w:t>metrics</w:t>
            </w:r>
          </w:p>
        </w:tc>
        <w:tc>
          <w:tcPr>
            <w:tcW w:type="dxa" w:w="2736"/>
          </w:tcPr>
          <w:p>
            <w:r/>
            <w:r>
              <w:rPr>
                <w:sz w:val="18"/>
              </w:rPr>
              <w:t>Go internal server</w:t>
            </w:r>
          </w:p>
        </w:tc>
        <w:tc>
          <w:tcPr>
            <w:tcW w:type="dxa" w:w="4320"/>
          </w:tcPr>
          <w:p>
            <w:r/>
            <w:r>
              <w:rPr>
                <w:sz w:val="18"/>
              </w:rPr>
              <w:t>JSON /metrics + /health, queue depth poller</w:t>
            </w:r>
          </w:p>
        </w:tc>
        <w:tc>
          <w:tcPr>
            <w:tcW w:type="dxa" w:w="864"/>
          </w:tcPr>
          <w:p>
            <w:r/>
            <w:r>
              <w:rPr>
                <w:sz w:val="18"/>
              </w:rPr>
              <w:t>9090</w:t>
            </w:r>
          </w:p>
        </w:tc>
      </w:tr>
      <w:tr>
        <w:tc>
          <w:tcPr>
            <w:tcW w:type="dxa" w:w="1728"/>
            <w:shd w:val="clear" w:color="auto" w:fill="EEF3F9"/>
          </w:tcPr>
          <w:p>
            <w:r/>
            <w:r>
              <w:rPr>
                <w:sz w:val="18"/>
              </w:rPr>
              <w:t>sync-agent</w:t>
            </w:r>
          </w:p>
        </w:tc>
        <w:tc>
          <w:tcPr>
            <w:tcW w:type="dxa" w:w="2736"/>
            <w:shd w:val="clear" w:color="auto" w:fill="EEF3F9"/>
          </w:tcPr>
          <w:p>
            <w:r/>
            <w:r>
              <w:rPr>
                <w:sz w:val="18"/>
              </w:rPr>
              <w:t>Go binary</w:t>
            </w:r>
          </w:p>
        </w:tc>
        <w:tc>
          <w:tcPr>
            <w:tcW w:type="dxa" w:w="4320"/>
            <w:shd w:val="clear" w:color="auto" w:fill="EEF3F9"/>
          </w:tcPr>
          <w:p>
            <w:r/>
            <w:r>
              <w:rPr>
                <w:sz w:val="18"/>
              </w:rPr>
              <w:t>School Box offline sync (outbox push / cloud pull)</w:t>
            </w:r>
          </w:p>
        </w:tc>
        <w:tc>
          <w:tcPr>
            <w:tcW w:type="dxa" w:w="864"/>
            <w:shd w:val="clear" w:color="auto" w:fill="EEF3F9"/>
          </w:tcPr>
          <w:p>
            <w:r/>
            <w:r>
              <w:rPr>
                <w:sz w:val="18"/>
              </w:rPr>
              <w:t>8081</w:t>
            </w:r>
          </w:p>
        </w:tc>
      </w:tr>
    </w:tbl>
    <w:p/>
    <w:p>
      <w:r>
        <w:rPr>
          <w:b/>
          <w:i w:val="0"/>
          <w:color w:val="2E6DA4"/>
        </w:rPr>
        <w:t>Backend layering</w:t>
      </w:r>
    </w:p>
    <w:p>
      <w:r>
        <w:rPr>
          <w:b w:val="0"/>
          <w:i w:val="0"/>
        </w:rPr>
        <w:t>internal/&lt;domain&gt;/{handler,service,repository,dto} per domain (auth, curriculum, assessment, career, student, teacher, school, region, ministry, sync, notification, jobs, storage, reports, modeling). pkg/ holds cross-cutting infra: crypto, storage, middleware (security, ratelimit, audit), metrics, telemetry, database clients, config, errors, validator, and the Go-&gt;ai-service HTTP client.</w:t>
      </w:r>
    </w:p>
    <w:p>
      <w:r>
        <w:rPr>
          <w:b/>
          <w:i w:val="0"/>
          <w:color w:val="2E6DA4"/>
        </w:rPr>
        <w:t>AI service</w:t>
      </w:r>
    </w:p>
    <w:p>
      <w:r>
        <w:rPr>
          <w:b w:val="0"/>
          <w:i w:val="0"/>
        </w:rPr>
        <w:t>Not Celery. Seven Redis BRPOP consumers plus one time-based nightly worker (refit_worker), all started as FastAPI lifespan tasks. Six queues: curriculum:parse, exam:parse, exam:answerkey, gap:analyze, studyplan:generate, gckt:trace, plus report:generate (added this roadmap).</w:t>
      </w:r>
    </w:p>
    <w:p>
      <w:pPr>
        <w:pStyle w:val="Heading1"/>
      </w:pPr>
      <w:r>
        <w:rPr>
          <w:color w:val="1F3A5F"/>
        </w:rPr>
        <w:t>3.  Core Feature — The Curriculum Pipeline</w:t>
      </w:r>
    </w:p>
    <w:p>
      <w:r>
        <w:rPr>
          <w:b w:val="0"/>
          <w:i w:val="0"/>
        </w:rPr>
        <w:t>A 4-step pipeline built on a dual-storage adapter (Postgres BYTEA in dev, S3 in prod — the S3 provider now exists) so the same handler/service code runs both locally and in the cloud with zero changes.</w:t>
      </w:r>
    </w:p>
    <w:tbl>
      <w:tblPr>
        <w:tblStyle w:val="LightGrid-Accent1"/>
        <w:tblW w:type="auto" w:w="0"/>
        <w:jc w:val="center"/>
        <w:tblLook w:firstColumn="1" w:firstRow="1" w:lastColumn="0" w:lastRow="0" w:noHBand="0" w:noVBand="1" w:val="04A0"/>
      </w:tblPr>
      <w:tblGrid>
        <w:gridCol w:w="2880"/>
        <w:gridCol w:w="2880"/>
        <w:gridCol w:w="2880"/>
      </w:tblGrid>
      <w:tr>
        <w:tc>
          <w:tcPr>
            <w:tcW w:type="dxa" w:w="1296"/>
            <w:shd w:val="clear" w:color="auto" w:fill="1F3A5F"/>
          </w:tcPr>
          <w:p>
            <w:r/>
            <w:r>
              <w:rPr>
                <w:b/>
                <w:color w:val="FFFFFF"/>
                <w:sz w:val="19"/>
              </w:rPr>
              <w:t>Step</w:t>
            </w:r>
          </w:p>
        </w:tc>
        <w:tc>
          <w:tcPr>
            <w:tcW w:type="dxa" w:w="6336"/>
            <w:shd w:val="clear" w:color="auto" w:fill="1F3A5F"/>
          </w:tcPr>
          <w:p>
            <w:r/>
            <w:r>
              <w:rPr>
                <w:b/>
                <w:color w:val="FFFFFF"/>
                <w:sz w:val="19"/>
              </w:rPr>
              <w:t>What happens</w:t>
            </w:r>
          </w:p>
        </w:tc>
        <w:tc>
          <w:tcPr>
            <w:tcW w:type="dxa" w:w="2016"/>
            <w:shd w:val="clear" w:color="auto" w:fill="1F3A5F"/>
          </w:tcPr>
          <w:p>
            <w:r/>
            <w:r>
              <w:rPr>
                <w:b/>
                <w:color w:val="FFFFFF"/>
                <w:sz w:val="19"/>
              </w:rPr>
              <w:t>Where</w:t>
            </w:r>
          </w:p>
        </w:tc>
      </w:tr>
      <w:tr>
        <w:tc>
          <w:tcPr>
            <w:tcW w:type="dxa" w:w="1296"/>
          </w:tcPr>
          <w:p>
            <w:r/>
            <w:r>
              <w:rPr>
                <w:sz w:val="18"/>
              </w:rPr>
              <w:t>1. Upload</w:t>
            </w:r>
          </w:p>
        </w:tc>
        <w:tc>
          <w:tcPr>
            <w:tcW w:type="dxa" w:w="6336"/>
          </w:tcPr>
          <w:p>
            <w:r/>
            <w:r>
              <w:rPr>
                <w:sz w:val="18"/>
              </w:rPr>
              <w:t>Role-gated, magic-byte validated, saved via StorageProvider, job pushed to Redis</w:t>
            </w:r>
          </w:p>
        </w:tc>
        <w:tc>
          <w:tcPr>
            <w:tcW w:type="dxa" w:w="2016"/>
          </w:tcPr>
          <w:p>
            <w:r/>
            <w:r>
              <w:rPr>
                <w:sz w:val="18"/>
              </w:rPr>
              <w:t>curriculum handler/service</w:t>
            </w:r>
          </w:p>
        </w:tc>
      </w:tr>
      <w:tr>
        <w:tc>
          <w:tcPr>
            <w:tcW w:type="dxa" w:w="1296"/>
            <w:shd w:val="clear" w:color="auto" w:fill="EEF3F9"/>
          </w:tcPr>
          <w:p>
            <w:r/>
            <w:r>
              <w:rPr>
                <w:sz w:val="18"/>
              </w:rPr>
              <w:t>2. Parse</w:t>
            </w:r>
          </w:p>
        </w:tc>
        <w:tc>
          <w:tcPr>
            <w:tcW w:type="dxa" w:w="6336"/>
            <w:shd w:val="clear" w:color="auto" w:fill="EEF3F9"/>
          </w:tcPr>
          <w:p>
            <w:r/>
            <w:r>
              <w:rPr>
                <w:sz w:val="18"/>
              </w:rPr>
              <w:t>Worker BRPOPs, extracts structure (PyMuPDF; TOC-first / font-heuristic / ID-convention Strategy 0)</w:t>
            </w:r>
          </w:p>
        </w:tc>
        <w:tc>
          <w:tcPr>
            <w:tcW w:type="dxa" w:w="2016"/>
            <w:shd w:val="clear" w:color="auto" w:fill="EEF3F9"/>
          </w:tcPr>
          <w:p>
            <w:r/>
            <w:r>
              <w:rPr>
                <w:sz w:val="18"/>
              </w:rPr>
              <w:t>curriculum_worker</w:t>
            </w:r>
          </w:p>
        </w:tc>
      </w:tr>
      <w:tr>
        <w:tc>
          <w:tcPr>
            <w:tcW w:type="dxa" w:w="1296"/>
          </w:tcPr>
          <w:p>
            <w:r/>
            <w:r>
              <w:rPr>
                <w:sz w:val="18"/>
              </w:rPr>
              <w:t>3. Review</w:t>
            </w:r>
          </w:p>
        </w:tc>
        <w:tc>
          <w:tcPr>
            <w:tcW w:type="dxa" w:w="6336"/>
          </w:tcPr>
          <w:p>
            <w:r/>
            <w:r>
              <w:rPr>
                <w:sz w:val="18"/>
              </w:rPr>
              <w:t>Officer edits the unit/topic/CLO tree in an editable UI, views original file via blob-fetch</w:t>
            </w:r>
          </w:p>
        </w:tc>
        <w:tc>
          <w:tcPr>
            <w:tcW w:type="dxa" w:w="2016"/>
          </w:tcPr>
          <w:p>
            <w:r/>
            <w:r>
              <w:rPr>
                <w:sz w:val="18"/>
              </w:rPr>
              <w:t>JobReviewPage.tsx</w:t>
            </w:r>
          </w:p>
        </w:tc>
      </w:tr>
      <w:tr>
        <w:tc>
          <w:tcPr>
            <w:tcW w:type="dxa" w:w="1296"/>
            <w:shd w:val="clear" w:color="auto" w:fill="EEF3F9"/>
          </w:tcPr>
          <w:p>
            <w:r/>
            <w:r>
              <w:rPr>
                <w:sz w:val="18"/>
              </w:rPr>
              <w:t>4. Finalize</w:t>
            </w:r>
          </w:p>
        </w:tc>
        <w:tc>
          <w:tcPr>
            <w:tcW w:type="dxa" w:w="6336"/>
            <w:shd w:val="clear" w:color="auto" w:fill="EEF3F9"/>
          </w:tcPr>
          <w:p>
            <w:r/>
            <w:r>
              <w:rPr>
                <w:sz w:val="18"/>
              </w:rPr>
              <w:t>One transaction upserts subjects/units/topics/CLOs, mirrors Subject-&gt;Unit-&gt;Topic-&gt;CLO into Neo4j</w:t>
            </w:r>
          </w:p>
        </w:tc>
        <w:tc>
          <w:tcPr>
            <w:tcW w:type="dxa" w:w="2016"/>
            <w:shd w:val="clear" w:color="auto" w:fill="EEF3F9"/>
          </w:tcPr>
          <w:p>
            <w:r/>
            <w:r>
              <w:rPr>
                <w:sz w:val="18"/>
              </w:rPr>
              <w:t>ApproveAndPromote</w:t>
            </w:r>
          </w:p>
        </w:tc>
      </w:tr>
    </w:tbl>
    <w:p/>
    <w:p>
      <w:r>
        <w:rPr>
          <w:b/>
          <w:i w:val="0"/>
          <w:color w:val="2E7D32"/>
        </w:rPr>
        <w:t>Real content ingested: the full Ethiopian MoE Biology G7-G12 curriculum — 6 subjects, 33 units, 554 topics (109 top-level + 445 subtopics), 806 CLOs, 4,593 topic-CLO mappings, and 90 cross-grade prerequisite edges — verified count-for-count across Postgres and Neo4j.</w:t>
      </w:r>
    </w:p>
    <w:p>
      <w:r>
        <w:br w:type="page"/>
      </w:r>
    </w:p>
    <w:p>
      <w:pPr>
        <w:pStyle w:val="Heading1"/>
      </w:pPr>
      <w:r>
        <w:rPr>
          <w:color w:val="1F3A5F"/>
        </w:rPr>
        <w:t>4.  Implemented Features</w:t>
      </w:r>
    </w:p>
    <w:p>
      <w:pPr>
        <w:pStyle w:val="Heading2"/>
      </w:pPr>
      <w:r>
        <w:rPr>
          <w:color w:val="2E6DA4"/>
        </w:rPr>
        <w:t>4.1  Assessment &amp; Intelligence Pipeline (Phases 2-4)</w:t>
      </w:r>
    </w:p>
    <w:p>
      <w:pPr>
        <w:pStyle w:val="ListBullet"/>
      </w:pPr>
      <w:r>
        <w:rPr>
          <w:b/>
        </w:rPr>
        <w:t>— teacher uploads, worker extracts questions, separate answer-key flow aligns keys to CLOs, students take exams, submissions graded and CLO-mastery-tracked (per-answer timeSpentSecs).</w:t>
      </w:r>
      <w:r>
        <w:t xml:space="preserve">Exam upload / parse / grade </w:t>
      </w:r>
    </w:p>
    <w:p>
      <w:pPr>
        <w:pStyle w:val="ListBullet"/>
      </w:pPr>
      <w:r>
        <w:rPr>
          <w:b/>
        </w:rPr>
        <w:t>— recursive-CTE cycle rejection, validated-vs-inferred provenance, Neo4j mirror + bulk resync backstop.</w:t>
      </w:r>
      <w:r>
        <w:t xml:space="preserve">Prerequisite graph write path </w:t>
      </w:r>
    </w:p>
    <w:p>
      <w:pPr>
        <w:pStyle w:val="ListBullet"/>
      </w:pPr>
      <w:r>
        <w:rPr>
          <w:b/>
        </w:rPr>
        <w:t>— 3-pass pipeline (triage -&gt; prerequisite root-cause walk -&gt; one Gemini call), bilingual EN/AM.</w:t>
      </w:r>
      <w:r>
        <w:t xml:space="preserve">Gap Analysis Engine </w:t>
      </w:r>
    </w:p>
    <w:p>
      <w:pPr>
        <w:pStyle w:val="ListBullet"/>
      </w:pPr>
      <w:r>
        <w:rPr>
          <w:b/>
        </w:rPr>
        <w:t>— Kahn topological sort over prerequisite edges + root-cause-before-symptom ordering, greedy day-packing.</w:t>
      </w:r>
      <w:r>
        <w:t xml:space="preserve">Study Plan Generator </w:t>
      </w:r>
    </w:p>
    <w:p>
      <w:pPr>
        <w:pStyle w:val="ListBullet"/>
      </w:pPr>
      <w:r>
        <w:rPr>
          <w:b/>
        </w:rPr>
        <w:t>— the only ai-service HTTP route; injects the student's own gap records + prerequisite chain into the prompt.</w:t>
      </w:r>
      <w:r>
        <w:t xml:space="preserve">Graph-RAG Tutor </w:t>
      </w:r>
    </w:p>
    <w:p>
      <w:pPr>
        <w:pStyle w:val="ListBullet"/>
      </w:pPr>
      <w:r>
        <w:rPr>
          <w:b/>
        </w:rPr>
        <w:t>— Neo4j STRUGGLED_WITH mirror, cross-grade alert when &gt;40% of a class struggles with a topic.</w:t>
      </w:r>
      <w:r>
        <w:t xml:space="preserve">Class-Wide Gap Heatmap </w:t>
      </w:r>
    </w:p>
    <w:p>
      <w:pPr>
        <w:pStyle w:val="ListBullet"/>
      </w:pPr>
      <w:r>
        <w:rPr>
          <w:b/>
        </w:rPr>
        <w:t>— discrimination index, difficulty calibration, coverage; nightly recompute via Go goroutine.</w:t>
      </w:r>
      <w:r>
        <w:t xml:space="preserve">Exam Quality + School Quality Score </w:t>
      </w:r>
    </w:p>
    <w:p>
      <w:pPr>
        <w:pStyle w:val="Heading2"/>
      </w:pPr>
      <w:r>
        <w:rPr>
          <w:color w:val="2E6DA4"/>
        </w:rPr>
        <w:t>4.2  EG-GCKT — Graph-Cognitive Knowledge Tracing</w:t>
      </w:r>
    </w:p>
    <w:p>
      <w:r>
        <w:rPr>
          <w:b w:val="0"/>
          <w:i/>
          <w:color w:val="B76E00"/>
        </w:rPr>
        <w:t>A 12-milestone research-grade learner-modeling layer. Compiles/imports/type-checks; not yet exercised against a live stack (see gaps).</w:t>
      </w:r>
    </w:p>
    <w:p>
      <w:pPr>
        <w:pStyle w:val="ListBullet"/>
      </w:pPr>
      <w:r>
        <w:rPr>
          <w:b/>
        </w:rPr>
        <w:t>— real BKT (4-param Bayesian), DINA (joint posterior), 2PL IRT (Newton-Raphson MLE), all on honest population defaults, all scope-aware (check for an active model snapshot before falling back).</w:t>
      </w:r>
      <w:r>
        <w:t xml:space="preserve">Analytical engines </w:t>
      </w:r>
    </w:p>
    <w:p>
      <w:pPr>
        <w:pStyle w:val="ListBullet"/>
      </w:pPr>
      <w:r>
        <w:rPr>
          <w:b/>
        </w:rPr>
        <w:t>— combines evidence weighted by reliability x recency x sample-size; disagreement widens uncertainty; graph-reasoning is deliberately the lowest-weighted source.</w:t>
      </w:r>
      <w:r>
        <w:t xml:space="preserve">Graph-Cognitive State Fusion </w:t>
      </w:r>
    </w:p>
    <w:p>
      <w:pPr>
        <w:pStyle w:val="ListBullet"/>
      </w:pPr>
      <w:r>
        <w:rPr>
          <w:b/>
        </w:rPr>
        <w:t>— the spec's Root Cause Score; penalizes a prerequisite edge's confidence when a strong topic has an evidenced-weak prerequisite (teacher-mediated).</w:t>
      </w:r>
      <w:r>
        <w:t xml:space="preserve">Root-cause diagnosis + consistency checking </w:t>
      </w:r>
    </w:p>
    <w:p>
      <w:pPr>
        <w:pStyle w:val="ListBullet"/>
      </w:pPr>
      <w:r>
        <w:rPr>
          <w:b/>
        </w:rPr>
        <w:t>— LLM proposes a structured candidate on repeated misses; teacher confirms; verification-item assignment nudges confidence.</w:t>
      </w:r>
      <w:r>
        <w:t xml:space="preserve">Misconception modeling </w:t>
      </w:r>
    </w:p>
    <w:p>
      <w:pPr>
        <w:pStyle w:val="ListBullet"/>
      </w:pPr>
      <w:r>
        <w:rPr>
          <w:b/>
        </w:rPr>
        <w:t>— 6-factor composite + distinct action types (practice / diagnostic / concept / alternative / prereq-review / spaced-review / escalation).</w:t>
      </w:r>
      <w:r>
        <w:t xml:space="preserve">Next-best-action ranking </w:t>
      </w:r>
    </w:p>
    <w:p>
      <w:pPr>
        <w:pStyle w:val="ListBullet"/>
      </w:pPr>
      <w:r>
        <w:rPr>
          <w:b/>
        </w:rPr>
        <w:t>— nightly refit writes candidate snapshots (never auto-activates); ministry_admin review/promote/reject queue with rollback.</w:t>
      </w:r>
      <w:r>
        <w:t xml:space="preserve">Governance </w:t>
      </w:r>
    </w:p>
    <w:p>
      <w:pPr>
        <w:pStyle w:val="ListBullet"/>
      </w:pPr>
      <w:r>
        <w:rPr>
          <w:b/>
        </w:rPr>
        <w:t>— prequential forward-chaining AUC / log-loss / Brier / ECE; reports insufficient_data honestly.</w:t>
      </w:r>
      <w:r>
        <w:t xml:space="preserve">Evaluation harness </w:t>
      </w:r>
    </w:p>
    <w:p>
      <w:pPr>
        <w:pStyle w:val="ListBullet"/>
      </w:pPr>
      <w:r>
        <w:rPr>
          <w:b/>
        </w:rPr>
        <w:t>— 5-part explanation endpoint with server-side IDOR-safe ownership check; state-snapshot history.</w:t>
      </w:r>
      <w:r>
        <w:t xml:space="preserve">Explainability </w:t>
      </w:r>
    </w:p>
    <w:p>
      <w:pPr>
        <w:pStyle w:val="ListBullet"/>
      </w:pPr>
      <w:r>
        <w:rPr>
          <w:b/>
        </w:rPr>
        <w:t>— detects 3 consecutive misses, routes through similar_to/alternative_to edges, escalates to teacher after 2 failed routes.</w:t>
      </w:r>
      <w:r>
        <w:t xml:space="preserve">Blocked-learning recovery </w:t>
      </w:r>
    </w:p>
    <w:p>
      <w:r>
        <w:br w:type="page"/>
      </w:r>
    </w:p>
    <w:p>
      <w:pPr>
        <w:pStyle w:val="Heading1"/>
      </w:pPr>
      <w:r>
        <w:rPr>
          <w:color w:val="1F3A5F"/>
        </w:rPr>
        <w:t>5.  Production Completion Roadmap (Phases 0-12)</w:t>
      </w:r>
    </w:p>
    <w:p>
      <w:r>
        <w:rPr>
          <w:b/>
          <w:i w:val="0"/>
          <w:color w:val="2E7D32"/>
        </w:rPr>
        <w:t>Landed on this branch. Backend: go build &amp; go vet clean. Frontend: type-check &amp; lint clean. ai-service: imports clean. Not yet exercised against a live Docker stack.</w:t>
      </w:r>
    </w:p>
    <w:tbl>
      <w:tblPr>
        <w:tblStyle w:val="LightGrid-Accent1"/>
        <w:tblW w:type="auto" w:w="0"/>
        <w:jc w:val="center"/>
        <w:tblLook w:firstColumn="1" w:firstRow="1" w:lastColumn="0" w:lastRow="0" w:noHBand="0" w:noVBand="1" w:val="04A0"/>
      </w:tblPr>
      <w:tblGrid>
        <w:gridCol w:w="2880"/>
        <w:gridCol w:w="2880"/>
        <w:gridCol w:w="2880"/>
      </w:tblGrid>
      <w:tr>
        <w:tc>
          <w:tcPr>
            <w:tcW w:type="dxa" w:w="1872"/>
            <w:shd w:val="clear" w:color="auto" w:fill="1F3A5F"/>
          </w:tcPr>
          <w:p>
            <w:r/>
            <w:r>
              <w:rPr>
                <w:b/>
                <w:color w:val="FFFFFF"/>
                <w:sz w:val="19"/>
              </w:rPr>
              <w:t>Phase</w:t>
            </w:r>
          </w:p>
        </w:tc>
        <w:tc>
          <w:tcPr>
            <w:tcW w:type="dxa" w:w="6048"/>
            <w:shd w:val="clear" w:color="auto" w:fill="1F3A5F"/>
          </w:tcPr>
          <w:p>
            <w:r/>
            <w:r>
              <w:rPr>
                <w:b/>
                <w:color w:val="FFFFFF"/>
                <w:sz w:val="19"/>
              </w:rPr>
              <w:t>Deliverable</w:t>
            </w:r>
          </w:p>
        </w:tc>
        <w:tc>
          <w:tcPr>
            <w:tcW w:type="dxa" w:w="1296"/>
            <w:shd w:val="clear" w:color="auto" w:fill="1F3A5F"/>
          </w:tcPr>
          <w:p>
            <w:r/>
            <w:r>
              <w:rPr>
                <w:b/>
                <w:color w:val="FFFFFF"/>
                <w:sz w:val="19"/>
              </w:rPr>
              <w:t>Status</w:t>
            </w:r>
          </w:p>
        </w:tc>
      </w:tr>
      <w:tr>
        <w:tc>
          <w:tcPr>
            <w:tcW w:type="dxa" w:w="1872"/>
          </w:tcPr>
          <w:p>
            <w:r/>
            <w:r>
              <w:rPr>
                <w:sz w:val="18"/>
              </w:rPr>
              <w:t>1  Curriculum</w:t>
            </w:r>
          </w:p>
        </w:tc>
        <w:tc>
          <w:tcPr>
            <w:tcW w:type="dxa" w:w="6048"/>
          </w:tcPr>
          <w:p>
            <w:r/>
            <w:r>
              <w:rPr>
                <w:sz w:val="18"/>
              </w:rPr>
              <w:t>ApproveAndPromote batch refactor (pgx.Batch + Neo4j UNWIND); ~200s -&gt; a handful of round-trips</w:t>
            </w:r>
          </w:p>
        </w:tc>
        <w:tc>
          <w:tcPr>
            <w:tcW w:type="dxa" w:w="1296"/>
          </w:tcPr>
          <w:p>
            <w:r/>
            <w:r>
              <w:rPr>
                <w:b/>
                <w:color w:val="2E7D32"/>
                <w:sz w:val="18"/>
              </w:rPr>
              <w:t>Built</w:t>
            </w:r>
          </w:p>
        </w:tc>
      </w:tr>
      <w:tr>
        <w:tc>
          <w:tcPr>
            <w:tcW w:type="dxa" w:w="1872"/>
            <w:shd w:val="clear" w:color="auto" w:fill="EEF3F9"/>
          </w:tcPr>
          <w:p>
            <w:r/>
            <w:r>
              <w:rPr>
                <w:sz w:val="18"/>
              </w:rPr>
              <w:t>1  Curriculum</w:t>
            </w:r>
          </w:p>
        </w:tc>
        <w:tc>
          <w:tcPr>
            <w:tcW w:type="dxa" w:w="6048"/>
            <w:shd w:val="clear" w:color="auto" w:fill="EEF3F9"/>
          </w:tcPr>
          <w:p>
            <w:r/>
            <w:r>
              <w:rPr>
                <w:sz w:val="18"/>
              </w:rPr>
              <w:t>S3StorageProvider + storage factory (STORAGE_PROVIDER env)</w:t>
            </w:r>
          </w:p>
        </w:tc>
        <w:tc>
          <w:tcPr>
            <w:tcW w:type="dxa" w:w="1296"/>
            <w:shd w:val="clear" w:color="auto" w:fill="EEF3F9"/>
          </w:tcPr>
          <w:p>
            <w:r/>
            <w:r>
              <w:rPr>
                <w:b/>
                <w:color w:val="2E7D32"/>
                <w:sz w:val="18"/>
              </w:rPr>
              <w:t>Built</w:t>
            </w:r>
          </w:p>
        </w:tc>
      </w:tr>
      <w:tr>
        <w:tc>
          <w:tcPr>
            <w:tcW w:type="dxa" w:w="1872"/>
          </w:tcPr>
          <w:p>
            <w:r/>
            <w:r>
              <w:rPr>
                <w:sz w:val="18"/>
              </w:rPr>
              <w:t>1  Curriculum</w:t>
            </w:r>
          </w:p>
        </w:tc>
        <w:tc>
          <w:tcPr>
            <w:tcW w:type="dxa" w:w="6048"/>
          </w:tcPr>
          <w:p>
            <w:r/>
            <w:r>
              <w:rPr>
                <w:sz w:val="18"/>
              </w:rPr>
              <w:t>POST /curriculum/clos/resync — full CLO Neo4j resync</w:t>
            </w:r>
          </w:p>
        </w:tc>
        <w:tc>
          <w:tcPr>
            <w:tcW w:type="dxa" w:w="1296"/>
          </w:tcPr>
          <w:p>
            <w:r/>
            <w:r>
              <w:rPr>
                <w:b/>
                <w:color w:val="2E7D32"/>
                <w:sz w:val="18"/>
              </w:rPr>
              <w:t>Built</w:t>
            </w:r>
          </w:p>
        </w:tc>
      </w:tr>
      <w:tr>
        <w:tc>
          <w:tcPr>
            <w:tcW w:type="dxa" w:w="1872"/>
            <w:shd w:val="clear" w:color="auto" w:fill="EEF3F9"/>
          </w:tcPr>
          <w:p>
            <w:r/>
            <w:r>
              <w:rPr>
                <w:sz w:val="18"/>
              </w:rPr>
              <w:t>2  Exam</w:t>
            </w:r>
          </w:p>
        </w:tc>
        <w:tc>
          <w:tcPr>
            <w:tcW w:type="dxa" w:w="6048"/>
            <w:shd w:val="clear" w:color="auto" w:fill="EEF3F9"/>
          </w:tcPr>
          <w:p>
            <w:r/>
            <w:r>
              <w:rPr>
                <w:sz w:val="18"/>
              </w:rPr>
              <w:t>Lifecycle close endpoint + autosave draft + draft restore (V051/V052)</w:t>
            </w:r>
          </w:p>
        </w:tc>
        <w:tc>
          <w:tcPr>
            <w:tcW w:type="dxa" w:w="1296"/>
            <w:shd w:val="clear" w:color="auto" w:fill="EEF3F9"/>
          </w:tcPr>
          <w:p>
            <w:r/>
            <w:r>
              <w:rPr>
                <w:b/>
                <w:color w:val="2E7D32"/>
                <w:sz w:val="18"/>
              </w:rPr>
              <w:t>Built</w:t>
            </w:r>
          </w:p>
        </w:tc>
      </w:tr>
      <w:tr>
        <w:tc>
          <w:tcPr>
            <w:tcW w:type="dxa" w:w="1872"/>
          </w:tcPr>
          <w:p>
            <w:r/>
            <w:r>
              <w:rPr>
                <w:sz w:val="18"/>
              </w:rPr>
              <w:t>3  EG-GCKT</w:t>
            </w:r>
          </w:p>
        </w:tc>
        <w:tc>
          <w:tcPr>
            <w:tcW w:type="dxa" w:w="6048"/>
          </w:tcPr>
          <w:p>
            <w:r/>
            <w:r>
              <w:rPr>
                <w:sz w:val="18"/>
              </w:rPr>
              <w:t>E2E verification against live stack</w:t>
            </w:r>
          </w:p>
        </w:tc>
        <w:tc>
          <w:tcPr>
            <w:tcW w:type="dxa" w:w="1296"/>
          </w:tcPr>
          <w:p>
            <w:r/>
            <w:r>
              <w:rPr>
                <w:b/>
                <w:sz w:val="18"/>
              </w:rPr>
              <w:t>Pending</w:t>
            </w:r>
          </w:p>
        </w:tc>
      </w:tr>
      <w:tr>
        <w:tc>
          <w:tcPr>
            <w:tcW w:type="dxa" w:w="1872"/>
            <w:shd w:val="clear" w:color="auto" w:fill="EEF3F9"/>
          </w:tcPr>
          <w:p>
            <w:r/>
            <w:r>
              <w:rPr>
                <w:sz w:val="18"/>
              </w:rPr>
              <w:t>4  Student UX</w:t>
            </w:r>
          </w:p>
        </w:tc>
        <w:tc>
          <w:tcPr>
            <w:tcW w:type="dxa" w:w="6048"/>
            <w:shd w:val="clear" w:color="auto" w:fill="EEF3F9"/>
          </w:tcPr>
          <w:p>
            <w:r/>
            <w:r>
              <w:rPr>
                <w:sz w:val="18"/>
              </w:rPr>
              <w:t>ExamAvailability / PreExam / SkillState pages, autosave + insight polling</w:t>
            </w:r>
          </w:p>
        </w:tc>
        <w:tc>
          <w:tcPr>
            <w:tcW w:type="dxa" w:w="1296"/>
            <w:shd w:val="clear" w:color="auto" w:fill="EEF3F9"/>
          </w:tcPr>
          <w:p>
            <w:r/>
            <w:r>
              <w:rPr>
                <w:b/>
                <w:color w:val="2E7D32"/>
                <w:sz w:val="18"/>
              </w:rPr>
              <w:t>Built</w:t>
            </w:r>
          </w:p>
        </w:tc>
      </w:tr>
      <w:tr>
        <w:tc>
          <w:tcPr>
            <w:tcW w:type="dxa" w:w="1872"/>
          </w:tcPr>
          <w:p>
            <w:r/>
            <w:r>
              <w:rPr>
                <w:sz w:val="18"/>
              </w:rPr>
              <w:t>5  Dashboards</w:t>
            </w:r>
          </w:p>
        </w:tc>
        <w:tc>
          <w:tcPr>
            <w:tcW w:type="dxa" w:w="6048"/>
          </w:tcPr>
          <w:p>
            <w:r/>
            <w:r>
              <w:rPr>
                <w:sz w:val="18"/>
              </w:rPr>
              <w:t>HeatmapGrid -&gt; ExplainPage click-through</w:t>
            </w:r>
          </w:p>
        </w:tc>
        <w:tc>
          <w:tcPr>
            <w:tcW w:type="dxa" w:w="1296"/>
          </w:tcPr>
          <w:p>
            <w:r/>
            <w:r>
              <w:rPr>
                <w:b/>
                <w:color w:val="2E7D32"/>
                <w:sz w:val="18"/>
              </w:rPr>
              <w:t>Built</w:t>
            </w:r>
          </w:p>
        </w:tc>
      </w:tr>
      <w:tr>
        <w:tc>
          <w:tcPr>
            <w:tcW w:type="dxa" w:w="1872"/>
            <w:shd w:val="clear" w:color="auto" w:fill="EEF3F9"/>
          </w:tcPr>
          <w:p>
            <w:r/>
            <w:r>
              <w:rPr>
                <w:sz w:val="18"/>
              </w:rPr>
              <w:t>6  Security</w:t>
            </w:r>
          </w:p>
        </w:tc>
        <w:tc>
          <w:tcPr>
            <w:tcW w:type="dxa" w:w="6048"/>
            <w:shd w:val="clear" w:color="auto" w:fill="EEF3F9"/>
          </w:tcPr>
          <w:p>
            <w:r/>
            <w:r>
              <w:rPr>
                <w:sz w:val="18"/>
              </w:rPr>
              <w:t>SecurityHeaders + RequestID, rate limiter, audit log (V053), RLS (V054)</w:t>
            </w:r>
          </w:p>
        </w:tc>
        <w:tc>
          <w:tcPr>
            <w:tcW w:type="dxa" w:w="1296"/>
            <w:shd w:val="clear" w:color="auto" w:fill="EEF3F9"/>
          </w:tcPr>
          <w:p>
            <w:r/>
            <w:r>
              <w:rPr>
                <w:b/>
                <w:color w:val="2E7D32"/>
                <w:sz w:val="18"/>
              </w:rPr>
              <w:t>Built</w:t>
            </w:r>
          </w:p>
        </w:tc>
      </w:tr>
      <w:tr>
        <w:tc>
          <w:tcPr>
            <w:tcW w:type="dxa" w:w="1872"/>
          </w:tcPr>
          <w:p>
            <w:r/>
            <w:r>
              <w:rPr>
                <w:sz w:val="18"/>
              </w:rPr>
              <w:t>7  Observability</w:t>
            </w:r>
          </w:p>
        </w:tc>
        <w:tc>
          <w:tcPr>
            <w:tcW w:type="dxa" w:w="6048"/>
          </w:tcPr>
          <w:p>
            <w:r/>
            <w:r>
              <w:rPr>
                <w:sz w:val="18"/>
              </w:rPr>
              <w:t>pkg/metrics /metrics + /health on :9090, queue-depth poller, OTel telemetry</w:t>
            </w:r>
          </w:p>
        </w:tc>
        <w:tc>
          <w:tcPr>
            <w:tcW w:type="dxa" w:w="1296"/>
          </w:tcPr>
          <w:p>
            <w:r/>
            <w:r>
              <w:rPr>
                <w:b/>
                <w:color w:val="2E7D32"/>
                <w:sz w:val="18"/>
              </w:rPr>
              <w:t>Built</w:t>
            </w:r>
          </w:p>
        </w:tc>
      </w:tr>
      <w:tr>
        <w:tc>
          <w:tcPr>
            <w:tcW w:type="dxa" w:w="1872"/>
            <w:shd w:val="clear" w:color="auto" w:fill="EEF3F9"/>
          </w:tcPr>
          <w:p>
            <w:r/>
            <w:r>
              <w:rPr>
                <w:sz w:val="18"/>
              </w:rPr>
              <w:t>10 Governance</w:t>
            </w:r>
          </w:p>
        </w:tc>
        <w:tc>
          <w:tcPr>
            <w:tcW w:type="dxa" w:w="6048"/>
            <w:shd w:val="clear" w:color="auto" w:fill="EEF3F9"/>
          </w:tcPr>
          <w:p>
            <w:r/>
            <w:r>
              <w:rPr>
                <w:sz w:val="18"/>
              </w:rPr>
              <w:t>Model-governance review UI + snapshot lifecycle</w:t>
            </w:r>
          </w:p>
        </w:tc>
        <w:tc>
          <w:tcPr>
            <w:tcW w:type="dxa" w:w="1296"/>
            <w:shd w:val="clear" w:color="auto" w:fill="EEF3F9"/>
          </w:tcPr>
          <w:p>
            <w:r/>
            <w:r>
              <w:rPr>
                <w:b/>
                <w:color w:val="2E7D32"/>
                <w:sz w:val="18"/>
              </w:rPr>
              <w:t>Built</w:t>
            </w:r>
          </w:p>
        </w:tc>
      </w:tr>
      <w:tr>
        <w:tc>
          <w:tcPr>
            <w:tcW w:type="dxa" w:w="1872"/>
          </w:tcPr>
          <w:p>
            <w:r/>
            <w:r>
              <w:rPr>
                <w:sz w:val="18"/>
              </w:rPr>
              <w:t>11 School Box</w:t>
            </w:r>
          </w:p>
        </w:tc>
        <w:tc>
          <w:tcPr>
            <w:tcW w:type="dxa" w:w="6048"/>
          </w:tcPr>
          <w:p>
            <w:r/>
            <w:r>
              <w:rPr>
                <w:sz w:val="18"/>
              </w:rPr>
              <w:t>sync-agent Go binary (outbox push / cloud pull, health :8081)</w:t>
            </w:r>
          </w:p>
        </w:tc>
        <w:tc>
          <w:tcPr>
            <w:tcW w:type="dxa" w:w="1296"/>
          </w:tcPr>
          <w:p>
            <w:r/>
            <w:r>
              <w:rPr>
                <w:b/>
                <w:color w:val="2E7D32"/>
                <w:sz w:val="18"/>
              </w:rPr>
              <w:t>Built</w:t>
            </w:r>
          </w:p>
        </w:tc>
      </w:tr>
      <w:tr>
        <w:tc>
          <w:tcPr>
            <w:tcW w:type="dxa" w:w="1872"/>
            <w:shd w:val="clear" w:color="auto" w:fill="EEF3F9"/>
          </w:tcPr>
          <w:p>
            <w:r/>
            <w:r>
              <w:rPr>
                <w:sz w:val="18"/>
              </w:rPr>
              <w:t>12 Reporting</w:t>
            </w:r>
          </w:p>
        </w:tc>
        <w:tc>
          <w:tcPr>
            <w:tcW w:type="dxa" w:w="6048"/>
            <w:shd w:val="clear" w:color="auto" w:fill="EEF3F9"/>
          </w:tcPr>
          <w:p>
            <w:r/>
            <w:r>
              <w:rPr>
                <w:sz w:val="18"/>
              </w:rPr>
              <w:t>reports domain + report_worker (V055); dead-letter handling (V056)</w:t>
            </w:r>
          </w:p>
        </w:tc>
        <w:tc>
          <w:tcPr>
            <w:tcW w:type="dxa" w:w="1296"/>
            <w:shd w:val="clear" w:color="auto" w:fill="EEF3F9"/>
          </w:tcPr>
          <w:p>
            <w:r/>
            <w:r>
              <w:rPr>
                <w:b/>
                <w:color w:val="2E7D32"/>
                <w:sz w:val="18"/>
              </w:rPr>
              <w:t>Built</w:t>
            </w:r>
          </w:p>
        </w:tc>
      </w:tr>
    </w:tbl>
    <w:p/>
    <w:p>
      <w:r>
        <w:rPr>
          <w:b/>
          <w:i w:val="0"/>
          <w:color w:val="2E6DA4"/>
        </w:rPr>
        <w:t>Resilience additions</w:t>
      </w:r>
    </w:p>
    <w:p>
      <w:pPr>
        <w:pStyle w:val="ListBullet"/>
      </w:pPr>
      <w:r>
        <w:rPr>
          <w:b/>
        </w:rPr>
        <w:t>— failed jobs across curriculum/gap/kt workers land in public.dead_letter_jobs; nightly requeue in refit_worker.</w:t>
      </w:r>
      <w:r>
        <w:t xml:space="preserve">Dead-letter jobs </w:t>
      </w:r>
    </w:p>
    <w:p>
      <w:pPr>
        <w:pStyle w:val="ListBullet"/>
      </w:pPr>
      <w:r>
        <w:rPr>
          <w:b/>
        </w:rPr>
        <w:t>— OllamaEmbeddingProvider (nomic-embed-text, 768-dim) selectable via EMBEDDING_PROVIDER=stub|ollama|gemini, falls back to stub on connection error.</w:t>
      </w:r>
      <w:r>
        <w:t xml:space="preserve">Real embedding provider </w:t>
      </w:r>
    </w:p>
    <w:p>
      <w:r>
        <w:br w:type="page"/>
      </w:r>
    </w:p>
    <w:p>
      <w:pPr>
        <w:pStyle w:val="Heading1"/>
      </w:pPr>
      <w:r>
        <w:rPr>
          <w:color w:val="1F3A5F"/>
        </w:rPr>
        <w:t>6.  Known Gaps &amp; Remaining Work</w:t>
      </w:r>
    </w:p>
    <w:tbl>
      <w:tblPr>
        <w:tblStyle w:val="LightGrid-Accent1"/>
        <w:tblW w:type="auto" w:w="0"/>
        <w:jc w:val="center"/>
        <w:tblLook w:firstColumn="1" w:firstRow="1" w:lastColumn="0" w:lastRow="0" w:noHBand="0" w:noVBand="1" w:val="04A0"/>
      </w:tblPr>
      <w:tblGrid>
        <w:gridCol w:w="2880"/>
        <w:gridCol w:w="2880"/>
        <w:gridCol w:w="2880"/>
      </w:tblGrid>
      <w:tr>
        <w:tc>
          <w:tcPr>
            <w:tcW w:type="dxa" w:w="2736"/>
            <w:shd w:val="clear" w:color="auto" w:fill="1F3A5F"/>
          </w:tcPr>
          <w:p>
            <w:r/>
            <w:r>
              <w:rPr>
                <w:b/>
                <w:color w:val="FFFFFF"/>
                <w:sz w:val="19"/>
              </w:rPr>
              <w:t>Item</w:t>
            </w:r>
          </w:p>
        </w:tc>
        <w:tc>
          <w:tcPr>
            <w:tcW w:type="dxa" w:w="1584"/>
            <w:shd w:val="clear" w:color="auto" w:fill="1F3A5F"/>
          </w:tcPr>
          <w:p>
            <w:r/>
            <w:r>
              <w:rPr>
                <w:b/>
                <w:color w:val="FFFFFF"/>
                <w:sz w:val="19"/>
              </w:rPr>
              <w:t>State</w:t>
            </w:r>
          </w:p>
        </w:tc>
        <w:tc>
          <w:tcPr>
            <w:tcW w:type="dxa" w:w="4896"/>
            <w:shd w:val="clear" w:color="auto" w:fill="1F3A5F"/>
          </w:tcPr>
          <w:p>
            <w:r/>
            <w:r>
              <w:rPr>
                <w:b/>
                <w:color w:val="FFFFFF"/>
                <w:sz w:val="19"/>
              </w:rPr>
              <w:t>What's needed</w:t>
            </w:r>
          </w:p>
        </w:tc>
      </w:tr>
      <w:tr>
        <w:tc>
          <w:tcPr>
            <w:tcW w:type="dxa" w:w="2736"/>
          </w:tcPr>
          <w:p>
            <w:r/>
            <w:r>
              <w:rPr>
                <w:sz w:val="18"/>
              </w:rPr>
              <w:t>EG-GCKT live verification</w:t>
            </w:r>
          </w:p>
        </w:tc>
        <w:tc>
          <w:tcPr>
            <w:tcW w:type="dxa" w:w="1584"/>
          </w:tcPr>
          <w:p>
            <w:r/>
            <w:r>
              <w:rPr>
                <w:b/>
                <w:color w:val="B76E00"/>
                <w:sz w:val="18"/>
              </w:rPr>
              <w:t>Unverified</w:t>
            </w:r>
          </w:p>
        </w:tc>
        <w:tc>
          <w:tcPr>
            <w:tcW w:type="dxa" w:w="4896"/>
          </w:tcPr>
          <w:p>
            <w:r/>
            <w:r>
              <w:rPr>
                <w:sz w:val="18"/>
              </w:rPr>
              <w:t>Run against docker compose + real browser; nothing Playwright-tested yet</w:t>
            </w:r>
          </w:p>
        </w:tc>
      </w:tr>
      <w:tr>
        <w:tc>
          <w:tcPr>
            <w:tcW w:type="dxa" w:w="2736"/>
            <w:shd w:val="clear" w:color="auto" w:fill="EEF3F9"/>
          </w:tcPr>
          <w:p>
            <w:r/>
            <w:r>
              <w:rPr>
                <w:sz w:val="18"/>
              </w:rPr>
              <w:t>Production roadmap live verification</w:t>
            </w:r>
          </w:p>
        </w:tc>
        <w:tc>
          <w:tcPr>
            <w:tcW w:type="dxa" w:w="1584"/>
            <w:shd w:val="clear" w:color="auto" w:fill="EEF3F9"/>
          </w:tcPr>
          <w:p>
            <w:r/>
            <w:r>
              <w:rPr>
                <w:b/>
                <w:color w:val="B76E00"/>
                <w:sz w:val="18"/>
              </w:rPr>
              <w:t>Unverified</w:t>
            </w:r>
          </w:p>
        </w:tc>
        <w:tc>
          <w:tcPr>
            <w:tcW w:type="dxa" w:w="4896"/>
            <w:shd w:val="clear" w:color="auto" w:fill="EEF3F9"/>
          </w:tcPr>
          <w:p>
            <w:r/>
            <w:r>
              <w:rPr>
                <w:sz w:val="18"/>
              </w:rPr>
              <w:t>Compiles/type-checks; not yet smoke-tested end-to-end on a running stack</w:t>
            </w:r>
          </w:p>
        </w:tc>
      </w:tr>
      <w:tr>
        <w:tc>
          <w:tcPr>
            <w:tcW w:type="dxa" w:w="2736"/>
          </w:tcPr>
          <w:p>
            <w:r/>
            <w:r>
              <w:rPr>
                <w:sz w:val="18"/>
              </w:rPr>
              <w:t>Embedding semantics</w:t>
            </w:r>
          </w:p>
        </w:tc>
        <w:tc>
          <w:tcPr>
            <w:tcW w:type="dxa" w:w="1584"/>
          </w:tcPr>
          <w:p>
            <w:r/>
            <w:r>
              <w:rPr>
                <w:b/>
                <w:color w:val="B76E00"/>
                <w:sz w:val="18"/>
              </w:rPr>
              <w:t>Partial</w:t>
            </w:r>
          </w:p>
        </w:tc>
        <w:tc>
          <w:tcPr>
            <w:tcW w:type="dxa" w:w="4896"/>
          </w:tcPr>
          <w:p>
            <w:r/>
            <w:r>
              <w:rPr>
                <w:sz w:val="18"/>
              </w:rPr>
              <w:t>Ollama provider exists but nomic-embed-text not benchmarked on Amharic/curriculum text</w:t>
            </w:r>
          </w:p>
        </w:tc>
      </w:tr>
      <w:tr>
        <w:tc>
          <w:tcPr>
            <w:tcW w:type="dxa" w:w="2736"/>
            <w:shd w:val="clear" w:color="auto" w:fill="EEF3F9"/>
          </w:tcPr>
          <w:p>
            <w:r/>
            <w:r>
              <w:rPr>
                <w:sz w:val="18"/>
              </w:rPr>
              <w:t>Career matching</w:t>
            </w:r>
          </w:p>
        </w:tc>
        <w:tc>
          <w:tcPr>
            <w:tcW w:type="dxa" w:w="1584"/>
            <w:shd w:val="clear" w:color="auto" w:fill="EEF3F9"/>
          </w:tcPr>
          <w:p>
            <w:r/>
            <w:r>
              <w:rPr>
                <w:b/>
                <w:sz w:val="18"/>
              </w:rPr>
              <w:t>Check</w:t>
            </w:r>
          </w:p>
        </w:tc>
        <w:tc>
          <w:tcPr>
            <w:tcW w:type="dxa" w:w="4896"/>
            <w:shd w:val="clear" w:color="auto" w:fill="EEF3F9"/>
          </w:tcPr>
          <w:p>
            <w:r/>
            <w:r>
              <w:rPr>
                <w:sz w:val="18"/>
              </w:rPr>
              <w:t>Roadmap wired the route; confirm career_matcher/service.py is fully implemented, not a stub</w:t>
            </w:r>
          </w:p>
        </w:tc>
      </w:tr>
      <w:tr>
        <w:tc>
          <w:tcPr>
            <w:tcW w:type="dxa" w:w="2736"/>
          </w:tcPr>
          <w:p>
            <w:r/>
            <w:r>
              <w:rPr>
                <w:sz w:val="18"/>
              </w:rPr>
              <w:t>DKT / MIRT calibration</w:t>
            </w:r>
          </w:p>
        </w:tc>
        <w:tc>
          <w:tcPr>
            <w:tcW w:type="dxa" w:w="1584"/>
          </w:tcPr>
          <w:p>
            <w:r/>
            <w:r>
              <w:rPr>
                <w:b/>
                <w:sz w:val="18"/>
              </w:rPr>
              <w:t>Deferred</w:t>
            </w:r>
          </w:p>
        </w:tc>
        <w:tc>
          <w:tcPr>
            <w:tcW w:type="dxa" w:w="4896"/>
          </w:tcPr>
          <w:p>
            <w:r/>
            <w:r>
              <w:rPr>
                <w:sz w:val="18"/>
              </w:rPr>
              <w:t>Deliberately not built — no real interaction data yet (spec's own Phase 6 criterion)</w:t>
            </w:r>
          </w:p>
        </w:tc>
      </w:tr>
      <w:tr>
        <w:tc>
          <w:tcPr>
            <w:tcW w:type="dxa" w:w="2736"/>
            <w:shd w:val="clear" w:color="auto" w:fill="EEF3F9"/>
          </w:tcPr>
          <w:p>
            <w:r/>
            <w:r>
              <w:rPr>
                <w:sz w:val="18"/>
              </w:rPr>
              <w:t>RLS enforcement</w:t>
            </w:r>
          </w:p>
        </w:tc>
        <w:tc>
          <w:tcPr>
            <w:tcW w:type="dxa" w:w="1584"/>
            <w:shd w:val="clear" w:color="auto" w:fill="EEF3F9"/>
          </w:tcPr>
          <w:p>
            <w:r/>
            <w:r>
              <w:rPr>
                <w:b/>
                <w:color w:val="B76E00"/>
                <w:sz w:val="18"/>
              </w:rPr>
              <w:t>Partial</w:t>
            </w:r>
          </w:p>
        </w:tc>
        <w:tc>
          <w:tcPr>
            <w:tcW w:type="dxa" w:w="4896"/>
            <w:shd w:val="clear" w:color="auto" w:fill="EEF3F9"/>
          </w:tcPr>
          <w:p>
            <w:r/>
            <w:r>
              <w:rPr>
                <w:sz w:val="18"/>
              </w:rPr>
              <w:t>Policies added (V054); Supabase service_role bypasses — verify app connects with the intended role</w:t>
            </w:r>
          </w:p>
        </w:tc>
      </w:tr>
      <w:tr>
        <w:tc>
          <w:tcPr>
            <w:tcW w:type="dxa" w:w="2736"/>
          </w:tcPr>
          <w:p>
            <w:r/>
            <w:r>
              <w:rPr>
                <w:sz w:val="18"/>
              </w:rPr>
              <w:t>Migrations applied</w:t>
            </w:r>
          </w:p>
        </w:tc>
        <w:tc>
          <w:tcPr>
            <w:tcW w:type="dxa" w:w="1584"/>
          </w:tcPr>
          <w:p>
            <w:r/>
            <w:r>
              <w:rPr>
                <w:b/>
                <w:sz w:val="18"/>
              </w:rPr>
              <w:t>Pending</w:t>
            </w:r>
          </w:p>
        </w:tc>
        <w:tc>
          <w:tcPr>
            <w:tcW w:type="dxa" w:w="4896"/>
          </w:tcPr>
          <w:p>
            <w:r/>
            <w:r>
              <w:rPr>
                <w:sz w:val="18"/>
              </w:rPr>
              <w:t>V051-V056 written; run Flyway against Supabase to apply</w:t>
            </w:r>
          </w:p>
        </w:tc>
      </w:tr>
    </w:tbl>
    <w:p/>
    <w:p>
      <w:r>
        <w:rPr>
          <w:b/>
          <w:i w:val="0"/>
          <w:color w:val="B76E00"/>
        </w:rPr>
        <w:t>Migrations must be applied</w:t>
      </w:r>
    </w:p>
    <w:p>
      <w:r>
        <w:rPr>
          <w:b w:val="0"/>
          <w:i w:val="0"/>
        </w:rPr>
        <w:t>V051-V056 are written but not yet run against Supabase. Apply via the standalone Flyway container (see Development Rules in CLAUDE.md) before the new endpoints will work against live data.</w:t>
      </w:r>
    </w:p>
    <w:p>
      <w:pPr>
        <w:pStyle w:val="Heading1"/>
      </w:pPr>
      <w:r>
        <w:rPr>
          <w:color w:val="1F3A5F"/>
        </w:rPr>
        <w:t>7.  Immediate Next Steps</w:t>
      </w:r>
    </w:p>
    <w:p>
      <w:r>
        <w:rPr>
          <w:b/>
          <w:i w:val="0"/>
        </w:rPr>
        <w:t>1. Apply migrations V051-V056 to Supabase via Flyway.</w:t>
      </w:r>
    </w:p>
    <w:p>
      <w:r>
        <w:rPr>
          <w:b w:val="0"/>
          <w:i w:val="0"/>
        </w:rPr>
        <w:t>2. Bring up the full stack (docker compose up -d) and smoke-test the new surfaces: batch approval latency, exam close/autosave/draft, /metrics + /health, rate limiting, reports queue, sync-agent health.</w:t>
      </w:r>
    </w:p>
    <w:p>
      <w:r>
        <w:rPr>
          <w:b w:val="0"/>
          <w:i w:val="0"/>
        </w:rPr>
        <w:t>3. Playwright-verify EG-GCKT end-to-end (the largest unverified surface): trace on graded attempt, skill-state page, explain page, model-governance promote/reject.</w:t>
      </w:r>
    </w:p>
    <w:p>
      <w:r>
        <w:rPr>
          <w:b w:val="0"/>
          <w:i w:val="0"/>
        </w:rPr>
        <w:t>4. Confirm the Ollama embedding path end-to-end and decide stub vs. ollama vs. gemini for the default.</w:t>
      </w:r>
    </w:p>
    <w:p>
      <w:r>
        <w:rPr>
          <w:b w:val="0"/>
          <w:i w:val="0"/>
        </w:rPr>
        <w:t>5. Verify career_matcher service is a real implementation, not a stub.</w:t>
      </w:r>
    </w:p>
    <w:p>
      <w:pPr>
        <w:pStyle w:val="Heading1"/>
      </w:pPr>
      <w:r>
        <w:rPr>
          <w:color w:val="1F3A5F"/>
        </w:rPr>
        <w:t>8.  Verification Status (this session)</w:t>
      </w:r>
    </w:p>
    <w:tbl>
      <w:tblPr>
        <w:tblStyle w:val="LightGrid-Accent1"/>
        <w:tblW w:type="auto" w:w="0"/>
        <w:jc w:val="center"/>
        <w:tblLook w:firstColumn="1" w:firstRow="1" w:lastColumn="0" w:lastRow="0" w:noHBand="0" w:noVBand="1" w:val="04A0"/>
      </w:tblPr>
      <w:tblGrid>
        <w:gridCol w:w="2880"/>
        <w:gridCol w:w="2880"/>
        <w:gridCol w:w="2880"/>
      </w:tblGrid>
      <w:tr>
        <w:tc>
          <w:tcPr>
            <w:tcW w:type="dxa" w:w="2592"/>
            <w:shd w:val="clear" w:color="auto" w:fill="1F3A5F"/>
          </w:tcPr>
          <w:p>
            <w:r/>
            <w:r>
              <w:rPr>
                <w:b/>
                <w:color w:val="FFFFFF"/>
                <w:sz w:val="19"/>
              </w:rPr>
              <w:t>Check</w:t>
            </w:r>
          </w:p>
        </w:tc>
        <w:tc>
          <w:tcPr>
            <w:tcW w:type="dxa" w:w="3744"/>
            <w:shd w:val="clear" w:color="auto" w:fill="1F3A5F"/>
          </w:tcPr>
          <w:p>
            <w:r/>
            <w:r>
              <w:rPr>
                <w:b/>
                <w:color w:val="FFFFFF"/>
                <w:sz w:val="19"/>
              </w:rPr>
              <w:t>Command</w:t>
            </w:r>
          </w:p>
        </w:tc>
        <w:tc>
          <w:tcPr>
            <w:tcW w:type="dxa" w:w="2880"/>
            <w:shd w:val="clear" w:color="auto" w:fill="1F3A5F"/>
          </w:tcPr>
          <w:p>
            <w:r/>
            <w:r>
              <w:rPr>
                <w:b/>
                <w:color w:val="FFFFFF"/>
                <w:sz w:val="19"/>
              </w:rPr>
              <w:t>Result</w:t>
            </w:r>
          </w:p>
        </w:tc>
      </w:tr>
      <w:tr>
        <w:tc>
          <w:tcPr>
            <w:tcW w:type="dxa" w:w="2592"/>
          </w:tcPr>
          <w:p>
            <w:r/>
            <w:r>
              <w:rPr>
                <w:sz w:val="18"/>
              </w:rPr>
              <w:t>Go build</w:t>
            </w:r>
          </w:p>
        </w:tc>
        <w:tc>
          <w:tcPr>
            <w:tcW w:type="dxa" w:w="3744"/>
          </w:tcPr>
          <w:p>
            <w:r/>
            <w:r>
              <w:rPr>
                <w:sz w:val="18"/>
              </w:rPr>
              <w:t>go build ./...</w:t>
            </w:r>
          </w:p>
        </w:tc>
        <w:tc>
          <w:tcPr>
            <w:tcW w:type="dxa" w:w="2880"/>
          </w:tcPr>
          <w:p>
            <w:r/>
            <w:r>
              <w:rPr>
                <w:b/>
                <w:color w:val="2E7D32"/>
                <w:sz w:val="18"/>
              </w:rPr>
              <w:t>Pass</w:t>
            </w:r>
          </w:p>
        </w:tc>
      </w:tr>
      <w:tr>
        <w:tc>
          <w:tcPr>
            <w:tcW w:type="dxa" w:w="2592"/>
            <w:shd w:val="clear" w:color="auto" w:fill="EEF3F9"/>
          </w:tcPr>
          <w:p>
            <w:r/>
            <w:r>
              <w:rPr>
                <w:sz w:val="18"/>
              </w:rPr>
              <w:t>Go vet</w:t>
            </w:r>
          </w:p>
        </w:tc>
        <w:tc>
          <w:tcPr>
            <w:tcW w:type="dxa" w:w="3744"/>
            <w:shd w:val="clear" w:color="auto" w:fill="EEF3F9"/>
          </w:tcPr>
          <w:p>
            <w:r/>
            <w:r>
              <w:rPr>
                <w:sz w:val="18"/>
              </w:rPr>
              <w:t>go vet ./...</w:t>
            </w:r>
          </w:p>
        </w:tc>
        <w:tc>
          <w:tcPr>
            <w:tcW w:type="dxa" w:w="2880"/>
            <w:shd w:val="clear" w:color="auto" w:fill="EEF3F9"/>
          </w:tcPr>
          <w:p>
            <w:r/>
            <w:r>
              <w:rPr>
                <w:b/>
                <w:color w:val="2E7D32"/>
                <w:sz w:val="18"/>
              </w:rPr>
              <w:t>Pass</w:t>
            </w:r>
          </w:p>
        </w:tc>
      </w:tr>
      <w:tr>
        <w:tc>
          <w:tcPr>
            <w:tcW w:type="dxa" w:w="2592"/>
          </w:tcPr>
          <w:p>
            <w:r/>
            <w:r>
              <w:rPr>
                <w:sz w:val="18"/>
              </w:rPr>
              <w:t>Frontend types</w:t>
            </w:r>
          </w:p>
        </w:tc>
        <w:tc>
          <w:tcPr>
            <w:tcW w:type="dxa" w:w="3744"/>
          </w:tcPr>
          <w:p>
            <w:r/>
            <w:r>
              <w:rPr>
                <w:sz w:val="18"/>
              </w:rPr>
              <w:t>npm run type-check</w:t>
            </w:r>
          </w:p>
        </w:tc>
        <w:tc>
          <w:tcPr>
            <w:tcW w:type="dxa" w:w="2880"/>
          </w:tcPr>
          <w:p>
            <w:r/>
            <w:r>
              <w:rPr>
                <w:b/>
                <w:color w:val="2E7D32"/>
                <w:sz w:val="18"/>
              </w:rPr>
              <w:t>Pass</w:t>
            </w:r>
          </w:p>
        </w:tc>
      </w:tr>
      <w:tr>
        <w:tc>
          <w:tcPr>
            <w:tcW w:type="dxa" w:w="2592"/>
            <w:shd w:val="clear" w:color="auto" w:fill="EEF3F9"/>
          </w:tcPr>
          <w:p>
            <w:r/>
            <w:r>
              <w:rPr>
                <w:sz w:val="18"/>
              </w:rPr>
              <w:t>Frontend lint</w:t>
            </w:r>
          </w:p>
        </w:tc>
        <w:tc>
          <w:tcPr>
            <w:tcW w:type="dxa" w:w="3744"/>
            <w:shd w:val="clear" w:color="auto" w:fill="EEF3F9"/>
          </w:tcPr>
          <w:p>
            <w:r/>
            <w:r>
              <w:rPr>
                <w:sz w:val="18"/>
              </w:rPr>
              <w:t>npm run lint (--max-warnings 0)</w:t>
            </w:r>
          </w:p>
        </w:tc>
        <w:tc>
          <w:tcPr>
            <w:tcW w:type="dxa" w:w="2880"/>
            <w:shd w:val="clear" w:color="auto" w:fill="EEF3F9"/>
          </w:tcPr>
          <w:p>
            <w:r/>
            <w:r>
              <w:rPr>
                <w:b/>
                <w:color w:val="2E7D32"/>
                <w:sz w:val="18"/>
              </w:rPr>
              <w:t>Pass</w:t>
            </w:r>
          </w:p>
        </w:tc>
      </w:tr>
      <w:tr>
        <w:tc>
          <w:tcPr>
            <w:tcW w:type="dxa" w:w="2592"/>
          </w:tcPr>
          <w:p>
            <w:r/>
            <w:r>
              <w:rPr>
                <w:sz w:val="18"/>
              </w:rPr>
              <w:t>ai-service import</w:t>
            </w:r>
          </w:p>
        </w:tc>
        <w:tc>
          <w:tcPr>
            <w:tcW w:type="dxa" w:w="3744"/>
          </w:tcPr>
          <w:p>
            <w:r/>
            <w:r>
              <w:rPr>
                <w:sz w:val="18"/>
              </w:rPr>
              <w:t>python -c 'import app.main'</w:t>
            </w:r>
          </w:p>
        </w:tc>
        <w:tc>
          <w:tcPr>
            <w:tcW w:type="dxa" w:w="2880"/>
          </w:tcPr>
          <w:p>
            <w:r/>
            <w:r>
              <w:rPr>
                <w:b/>
                <w:color w:val="2E7D32"/>
                <w:sz w:val="18"/>
              </w:rPr>
              <w:t>Pass (8 workers wired)</w:t>
            </w:r>
          </w:p>
        </w:tc>
      </w:tr>
      <w:tr>
        <w:tc>
          <w:tcPr>
            <w:tcW w:type="dxa" w:w="2592"/>
            <w:shd w:val="clear" w:color="auto" w:fill="EEF3F9"/>
          </w:tcPr>
          <w:p>
            <w:r/>
            <w:r>
              <w:rPr>
                <w:sz w:val="18"/>
              </w:rPr>
              <w:t>Live stack smoke test</w:t>
            </w:r>
          </w:p>
        </w:tc>
        <w:tc>
          <w:tcPr>
            <w:tcW w:type="dxa" w:w="3744"/>
            <w:shd w:val="clear" w:color="auto" w:fill="EEF3F9"/>
          </w:tcPr>
          <w:p>
            <w:r/>
            <w:r>
              <w:rPr>
                <w:sz w:val="18"/>
              </w:rPr>
              <w:t>docker compose up + browser</w:t>
            </w:r>
          </w:p>
        </w:tc>
        <w:tc>
          <w:tcPr>
            <w:tcW w:type="dxa" w:w="2880"/>
            <w:shd w:val="clear" w:color="auto" w:fill="EEF3F9"/>
          </w:tcPr>
          <w:p>
            <w:r/>
            <w:r>
              <w:rPr>
                <w:b/>
                <w:color w:val="C62828"/>
                <w:sz w:val="18"/>
              </w:rPr>
              <w:t>Not yet run</w:t>
            </w:r>
          </w:p>
        </w:tc>
      </w:tr>
    </w:tbl>
    <w:p/>
    <w:p>
      <w:r>
        <w:rPr>
          <w:b w:val="0"/>
          <w:i/>
          <w:color w:val="555555"/>
        </w:rPr>
        <w:t>End of report.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