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Noto Sans Thai" w:cs="Noto Sans Thai" w:eastAsia="Noto Sans Thai" w:hAnsi="Noto Sans Thai"/>
          <w:b/>
          <w:bCs/>
          <w:color w:val="1f3a5f"/>
          <w:sz w:val="44"/>
          <w:szCs w:val="44"/>
        </w:rPr>
        <w:t xml:space="preserve">Project Plan</w:t>
      </w:r>
    </w:p>
    <w:p>
      <w:pPr>
        <w:spacing w:after="100"/>
        <w:jc w:val="center"/>
      </w:pPr>
      <w:r>
        <w:rPr>
          <w:rFonts w:ascii="Noto Sans Thai" w:cs="Noto Sans Thai" w:eastAsia="Noto Sans Thai" w:hAnsi="Noto Sans Thai"/>
          <w:b/>
          <w:bCs/>
          <w:color w:val="444444"/>
          <w:sz w:val="28"/>
          <w:szCs w:val="28"/>
        </w:rPr>
        <w:t xml:space="preserve">แผนดำเนินงานโครงการ, Milestone และ Risk Register</w:t>
      </w:r>
    </w:p>
    <w:p>
      <w:pPr>
        <w:spacing w:after="800"/>
        <w:jc w:val="center"/>
      </w:pPr>
      <w:r>
        <w:rPr>
          <w:rFonts w:ascii="Noto Sans Thai" w:cs="Noto Sans Thai" w:eastAsia="Noto Sans Thai" w:hAnsi="Noto Sans Thai"/>
          <w:color w:val="444444"/>
          <w:sz w:val="24"/>
          <w:szCs w:val="24"/>
        </w:rPr>
        <w:t xml:space="preserve">Hybrid Cloud Infrastructure Monitoring Dashboard</w:t>
      </w:r>
    </w:p>
    <w:p>
      <w:pPr>
        <w:spacing w:after="1600"/>
        <w:jc w:val="center"/>
      </w:pPr>
      <w:r>
        <w:rPr>
          <w:rFonts w:ascii="Noto Sans Thai" w:cs="Noto Sans Thai" w:eastAsia="Noto Sans Thai" w:hAnsi="Noto Sans Thai"/>
          <w:color w:val="FFFFFF"/>
          <w:sz w:val="20"/>
          <w:szCs w:val="20"/>
          <w:shd w:fill="1f3a5f" w:val="clear"/>
        </w:rPr>
        <w:t xml:space="preserve">เอกสารหมายเลข 1.4  —  Phase 1: Design &amp; Setup</w:t>
      </w:r>
    </w:p>
    <w:p>
      <w:pPr>
        <w:spacing w:after="60" w:before="3000"/>
        <w:jc w:val="center"/>
      </w:pPr>
      <w:r>
        <w:rPr>
          <w:rFonts w:ascii="Noto Sans Thai" w:cs="Noto Sans Thai" w:eastAsia="Noto Sans Thai" w:hAnsi="Noto Sans Thai"/>
          <w:color w:val="555555"/>
          <w:sz w:val="21"/>
          <w:szCs w:val="21"/>
        </w:rPr>
        <w:t xml:space="preserve">โครงงานวิศวกรรมคอมพิวเตอร์ ปีสุดท้าย</w:t>
      </w:r>
    </w:p>
    <w:p>
      <w:pPr>
        <w:jc w:val="center"/>
      </w:pPr>
      <w:r>
        <w:rPr>
          <w:rFonts w:ascii="Noto Sans Thai" w:cs="Noto Sans Thai" w:eastAsia="Noto Sans Thai" w:hAnsi="Noto Sans Thai"/>
          <w:color w:val="555555"/>
          <w:sz w:val="21"/>
          <w:szCs w:val="21"/>
        </w:rPr>
        <w:t xml:space="preserve">Framework: Zabbix 7.x | Cloud: AWS + GCP Free Tier</w:t>
      </w:r>
    </w:p>
    <w:p>
      <w:r>
        <w:br w:type="page"/>
      </w:r>
    </w:p>
    <w:p>
      <w:pPr>
        <w:sectPr>
          <w:pgSz w:w="11907" w:h="16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1. บทนำ</w:t>
      </w:r>
    </w:p>
    <w:p>
      <w:pPr>
        <w:spacing w:after="120" w:before="0" w:line="320"/>
        <w:jc w:val="left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1"/>
          <w:szCs w:val="21"/>
        </w:rPr>
        <w:t xml:space="preserve">เอกสารฉบับนี้เป็นส่วนที่สองของ Deliverable 1.4 Project Plan โดยส่วนแรกคือไฟล์ Excel “1.4_Project_Plan_Gantt.xlsx” ที่แสดง Gantt Chart รายสัปดาห์ทั้ง 16 สัปดาห์ ส่วนเอกสารนี้ครอบคลุมรายละเอียดที่ตารางใน Excel แสดงได้ไม่เต็มที่ ได้แก่ Milestone พร้อมเกณฑ์ความสำเร็จ และ Risk Register สำหรับบริหารความเสี่ยงตลอดโครงการ</w:t>
      </w: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2. ตาราง Milestone และเกณฑ์ความสำเร็จ</w:t>
      </w:r>
    </w:p>
    <w:p>
      <w:pPr>
        <w:spacing w:after="160" w:before="0" w:line="320"/>
        <w:jc w:val="left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1"/>
          <w:szCs w:val="21"/>
        </w:rPr>
        <w:t xml:space="preserve">Milestone คือจุดตรวจสอบความคืบหน้าหลักของโครงการ ใช้เพื่อประเมินว่าการพัฒนายังอยู่ใน Timeline หรือไม่ หากถึงสัปดาห์ที่กำหนดแล้วยังไม่ผ่านเกณฑ์ ควรทบทวนแผนและปรับ Buffer ทันที</w:t>
      </w:r>
    </w:p>
    <w:tbl>
      <w:tblPr>
        <w:tblW w:type="pct" w:w="100%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900"/>
        <w:gridCol w:w="2340"/>
        <w:gridCol w:w="1440"/>
        <w:gridCol w:w="4320"/>
      </w:tblGrid>
      <w:tr>
        <w:trPr>
          <w:tblHeader/>
        </w:trPr>
        <w:tc>
          <w:tcPr>
            <w:tcW w:type="pct" w:w="10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สัปดาห์</w:t>
            </w:r>
          </w:p>
        </w:tc>
        <w:tc>
          <w:tcPr>
            <w:tcW w:type="pct" w:w="26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pct" w:w="16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pct" w:w="48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เกณฑ์ความสำเร็จ (Success Criteria)</w:t>
            </w:r>
          </w:p>
        </w:tc>
      </w:tr>
      <w:tr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2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Architecture Finalized</w:t>
            </w:r>
          </w:p>
        </w:tc>
        <w:tc>
          <w:tcPr>
            <w:tcW w:type="pct" w:w="1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Phase 1</w:t>
            </w:r>
          </w:p>
        </w:tc>
        <w:tc>
          <w:tcPr>
            <w:tcW w:type="pct" w:w="4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System Architecture + Network Design ผ่านการตรวจสอบและอนุมัติจากอาจารย์ที่ปรึกษา</w:t>
            </w:r>
          </w:p>
        </w:tc>
      </w:tr>
      <w:tr>
        <w:tc>
          <w:tcPr>
            <w:tcW w:type="pct" w:w="1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pct" w:w="2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On-Prem 100% Monitored</w:t>
            </w:r>
          </w:p>
        </w:tc>
        <w:tc>
          <w:tcPr>
            <w:tcW w:type="pct" w:w="1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Phase 2</w:t>
            </w:r>
          </w:p>
        </w:tc>
        <w:tc>
          <w:tcPr>
            <w:tcW w:type="pct" w:w="48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ทุก Host/Device ในแล็บแสดงผลใน Zabbix ครบถ้วน ไม่มีสถานะ Unreachable</w:t>
            </w:r>
          </w:p>
        </w:tc>
      </w:tr>
      <w:tr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pct" w:w="2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Cloud Integration Complete</w:t>
            </w:r>
          </w:p>
        </w:tc>
        <w:tc>
          <w:tcPr>
            <w:tcW w:type="pct" w:w="1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Phase 3</w:t>
            </w:r>
          </w:p>
        </w:tc>
        <w:tc>
          <w:tcPr>
            <w:tcW w:type="pct" w:w="4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Proxy ทั้ง AWS และ GCP ทำงานได้ปกติ และ Auto-discovery ตรวจจับ VM ใหม่ได้จริง</w:t>
            </w:r>
          </w:p>
        </w:tc>
      </w:tr>
      <w:tr>
        <w:tc>
          <w:tcPr>
            <w:tcW w:type="pct" w:w="1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pct" w:w="2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Cost Dashboard Live</w:t>
            </w:r>
          </w:p>
        </w:tc>
        <w:tc>
          <w:tcPr>
            <w:tcW w:type="pct" w:w="1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Phase 4</w:t>
            </w:r>
          </w:p>
        </w:tc>
        <w:tc>
          <w:tcPr>
            <w:tcW w:type="pct" w:w="48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Cost Panel ใน Grafana แสดงข้อมูลค่าใช้จ่ายจริงจากทั้งสอง Cloud ได้ถูกต้อง</w:t>
            </w:r>
          </w:p>
        </w:tc>
      </w:tr>
      <w:tr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pct" w:w="2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Alerting Complete</w:t>
            </w:r>
          </w:p>
        </w:tc>
        <w:tc>
          <w:tcPr>
            <w:tcW w:type="pct" w:w="1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Phase 5</w:t>
            </w:r>
          </w:p>
        </w:tc>
        <w:tc>
          <w:tcPr>
            <w:tcW w:type="pct" w:w="48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การแจ้งเตือนผ่าน LINE Notify/Email ทำงานถูกต้องครบทุก Severity Level</w:t>
            </w:r>
          </w:p>
        </w:tc>
      </w:tr>
      <w:tr>
        <w:tc>
          <w:tcPr>
            <w:tcW w:type="pct" w:w="1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pct" w:w="2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Final Submission</w:t>
            </w:r>
          </w:p>
        </w:tc>
        <w:tc>
          <w:tcPr>
            <w:tcW w:type="pct" w:w="1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Phase 6</w:t>
            </w:r>
          </w:p>
        </w:tc>
        <w:tc>
          <w:tcPr>
            <w:tcW w:type="pct" w:w="48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ส่งมอบ Final Report, Source Code Repository และสาธิต Live Demo ต่อกรรมการสำเร็จ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3. Risk Register</w:t>
      </w:r>
    </w:p>
    <w:p>
      <w:pPr>
        <w:spacing w:after="160" w:before="0" w:line="320"/>
        <w:jc w:val="left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1"/>
          <w:szCs w:val="21"/>
        </w:rPr>
        <w:t xml:space="preserve">ระบุความเสี่ยงที่คาดว่าจะพบระหว่างดำเนินโครงการ พร้อมระดับโอกาสเกิด (Likelihood) และผลกระทบ (Impact) แบ่งเป็น 3 ระดับ คือ ต่ำ / กลาง / สูง เพื่อจัดลำดับความสำคัญในการติดตามและวางแผนรับมือล่วงหน้า</w:t>
      </w:r>
    </w:p>
    <w:tbl>
      <w:tblPr>
        <w:tblW w:type="pct" w:w="100%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540"/>
        <w:gridCol w:w="2700"/>
        <w:gridCol w:w="1080"/>
        <w:gridCol w:w="1080"/>
        <w:gridCol w:w="3600"/>
      </w:tblGrid>
      <w:tr>
        <w:trPr>
          <w:tblHeader/>
        </w:trPr>
        <w:tc>
          <w:tcPr>
            <w:tcW w:type="pct" w:w="6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30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ความเสี่ยง</w:t>
            </w:r>
          </w:p>
        </w:tc>
        <w:tc>
          <w:tcPr>
            <w:tcW w:type="pct" w:w="12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โอกาสเกิด</w:t>
            </w:r>
          </w:p>
        </w:tc>
        <w:tc>
          <w:tcPr>
            <w:tcW w:type="pct" w:w="12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ผลกระทบ</w:t>
            </w:r>
          </w:p>
        </w:tc>
        <w:tc>
          <w:tcPr>
            <w:tcW w:type="pct" w:w="40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แผนรับมือ (Mitigation Plan)</w:t>
            </w:r>
          </w:p>
        </w:tc>
      </w:tr>
      <w:tr>
        <w:tc>
          <w:tcPr>
            <w:tcW w:type="pct" w:w="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pct" w:w="3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GCP/AWS Free Tier หมดอายุหรือมีการเรียกเก็บเงินเกินคาด</w:t>
            </w:r>
          </w:p>
        </w:tc>
        <w:tc>
          <w:tcPr>
            <w:tcW w:type="pct" w:w="12%"/>
            <w:shd w:fill="fdf6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17"/>
                <w:szCs w:val="17"/>
              </w:rPr>
              <w:t xml:space="preserve">กลาง</w:t>
            </w:r>
          </w:p>
        </w:tc>
        <w:tc>
          <w:tcPr>
            <w:tcW w:type="pct" w:w="12%"/>
            <w:shd w:fill="fbea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8a2a20"/>
                <w:sz w:val="17"/>
                <w:szCs w:val="17"/>
              </w:rPr>
              <w:t xml:space="preserve">สูง</w:t>
            </w:r>
          </w:p>
        </w:tc>
        <w:tc>
          <w:tcPr>
            <w:tcW w:type="pct" w:w="4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ตั้ง Billing Alert ที่ $1 บนทั้งสอง Cloud, ตรวจสอบ Usage รายสัปดาห์, ปิด Resource ที่ไม่ใช้ทันที</w:t>
            </w:r>
          </w:p>
        </w:tc>
      </w:tr>
      <w:tr>
        <w:tc>
          <w:tcPr>
            <w:tcW w:type="pct" w:w="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pct" w:w="3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Zabbix Proxy เชื่อมต่อ Server ไม่ได้เนื่องจาก Firewall/Security Group ผิดพลาด</w:t>
            </w:r>
          </w:p>
        </w:tc>
        <w:tc>
          <w:tcPr>
            <w:tcW w:type="pct" w:w="12%"/>
            <w:shd w:fill="fbea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8a2a20"/>
                <w:sz w:val="17"/>
                <w:szCs w:val="17"/>
              </w:rPr>
              <w:t xml:space="preserve">สูง</w:t>
            </w:r>
          </w:p>
        </w:tc>
        <w:tc>
          <w:tcPr>
            <w:tcW w:type="pct" w:w="12%"/>
            <w:shd w:fill="fdf6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17"/>
                <w:szCs w:val="17"/>
              </w:rPr>
              <w:t xml:space="preserve">กลาง</w:t>
            </w:r>
          </w:p>
        </w:tc>
        <w:tc>
          <w:tcPr>
            <w:tcW w:type="pct" w:w="4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เทสต์ Port ด้วย telnet/nc ก่อน Deploy จริงทุกครั้ง, จัดทำ Checklist Firewall Rule ตามเอกสาร 1.3</w:t>
            </w:r>
          </w:p>
        </w:tc>
      </w:tr>
      <w:tr>
        <w:tc>
          <w:tcPr>
            <w:tcW w:type="pct" w:w="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pct" w:w="3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เวลาพัฒนาไม่พอ เนื่องจาก Cloud Billing API มีเอกสารซับซ้อนกว่าที่ประเมินไว้</w:t>
            </w:r>
          </w:p>
        </w:tc>
        <w:tc>
          <w:tcPr>
            <w:tcW w:type="pct" w:w="12%"/>
            <w:shd w:fill="fdf6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17"/>
                <w:szCs w:val="17"/>
              </w:rPr>
              <w:t xml:space="preserve">กลาง</w:t>
            </w:r>
          </w:p>
        </w:tc>
        <w:tc>
          <w:tcPr>
            <w:tcW w:type="pct" w:w="12%"/>
            <w:shd w:fill="fbea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8a2a20"/>
                <w:sz w:val="17"/>
                <w:szCs w:val="17"/>
              </w:rPr>
              <w:t xml:space="preserve">สูง</w:t>
            </w:r>
          </w:p>
        </w:tc>
        <w:tc>
          <w:tcPr>
            <w:tcW w:type="pct" w:w="4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เผื่อ Buffer 1 สัปดาห์ใน Phase 4, ศึกษา Sample Code จาก AWS/GCP SDK ล่วงหน้าตั้งแต่ Phase 1</w:t>
            </w:r>
          </w:p>
        </w:tc>
      </w:tr>
      <w:tr>
        <w:tc>
          <w:tcPr>
            <w:tcW w:type="pct" w:w="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pct" w:w="3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Lab Machine เสียหรือไฟดับระหว่างพัฒนา ทำให้ข้อมูล/Config สูญหาย</w:t>
            </w:r>
          </w:p>
        </w:tc>
        <w:tc>
          <w:tcPr>
            <w:tcW w:type="pct" w:w="12%"/>
            <w:shd w:fill="eef7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2b6e2e"/>
                <w:sz w:val="17"/>
                <w:szCs w:val="17"/>
              </w:rPr>
              <w:t xml:space="preserve">ต่ำ</w:t>
            </w:r>
          </w:p>
        </w:tc>
        <w:tc>
          <w:tcPr>
            <w:tcW w:type="pct" w:w="12%"/>
            <w:shd w:fill="fbea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8a2a20"/>
                <w:sz w:val="17"/>
                <w:szCs w:val="17"/>
              </w:rPr>
              <w:t xml:space="preserve">สูง</w:t>
            </w:r>
          </w:p>
        </w:tc>
        <w:tc>
          <w:tcPr>
            <w:tcW w:type="pct" w:w="4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สำรอง Config ทั้งหมดด้วย Ansible Playbook (Rebuild ได้เร็ว), Backup MariaDB รายสัปดาห์ไปยัง External Storage</w:t>
            </w:r>
          </w:p>
        </w:tc>
      </w:tr>
      <w:tr>
        <w:tc>
          <w:tcPr>
            <w:tcW w:type="pct" w:w="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R5</w:t>
            </w:r>
          </w:p>
        </w:tc>
        <w:tc>
          <w:tcPr>
            <w:tcW w:type="pct" w:w="3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Auto-Discovery (LLD) ตรวจจับ VM ใหม่ผิดพลาดหรือล่าช้ากว่าที่คาด</w:t>
            </w:r>
          </w:p>
        </w:tc>
        <w:tc>
          <w:tcPr>
            <w:tcW w:type="pct" w:w="12%"/>
            <w:shd w:fill="fdf6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17"/>
                <w:szCs w:val="17"/>
              </w:rPr>
              <w:t xml:space="preserve">กลาง</w:t>
            </w:r>
          </w:p>
        </w:tc>
        <w:tc>
          <w:tcPr>
            <w:tcW w:type="pct" w:w="12%"/>
            <w:shd w:fill="fdf6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17"/>
                <w:szCs w:val="17"/>
              </w:rPr>
              <w:t xml:space="preserve">กลาง</w:t>
            </w:r>
          </w:p>
        </w:tc>
        <w:tc>
          <w:tcPr>
            <w:tcW w:type="pct" w:w="4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ทดสอบ LLD Rule กับ VM ทดลองตั้งแต่ Phase 3 ช่วงต้น ก่อนเชื่อมกับระบบจริง</w:t>
            </w:r>
          </w:p>
        </w:tc>
      </w:tr>
      <w:tr>
        <w:tc>
          <w:tcPr>
            <w:tcW w:type="pct" w:w="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R6</w:t>
            </w:r>
          </w:p>
        </w:tc>
        <w:tc>
          <w:tcPr>
            <w:tcW w:type="pct" w:w="3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ข้อมูล Cost จาก Billing API มี Delay ไม่ใช่ Real-time อาจกระทบตอน Demo สด</w:t>
            </w:r>
          </w:p>
        </w:tc>
        <w:tc>
          <w:tcPr>
            <w:tcW w:type="pct" w:w="12%"/>
            <w:shd w:fill="fbea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8a2a20"/>
                <w:sz w:val="17"/>
                <w:szCs w:val="17"/>
              </w:rPr>
              <w:t xml:space="preserve">สูง</w:t>
            </w:r>
          </w:p>
        </w:tc>
        <w:tc>
          <w:tcPr>
            <w:tcW w:type="pct" w:w="12%"/>
            <w:shd w:fill="eef7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2b6e2e"/>
                <w:sz w:val="17"/>
                <w:szCs w:val="17"/>
              </w:rPr>
              <w:t xml:space="preserve">ต่ำ</w:t>
            </w:r>
          </w:p>
        </w:tc>
        <w:tc>
          <w:tcPr>
            <w:tcW w:type="pct" w:w="4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เตรียม Data Snapshot ล่วงหน้า 1 วันก่อน Demo และอธิบายข้อจำกัดของ Billing API ต่อกรรมการอย่างตรงไปตรงมา</w:t>
            </w:r>
          </w:p>
        </w:tc>
      </w:tr>
      <w:tr>
        <w:tc>
          <w:tcPr>
            <w:tcW w:type="pct" w:w="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R7</w:t>
            </w:r>
          </w:p>
        </w:tc>
        <w:tc>
          <w:tcPr>
            <w:tcW w:type="pct" w:w="3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เปิด Port Zabbix (10050/10051) สู่ Internet แล้วถูกโจมตีแบบ Brute-force</w:t>
            </w:r>
          </w:p>
        </w:tc>
        <w:tc>
          <w:tcPr>
            <w:tcW w:type="pct" w:w="12%"/>
            <w:shd w:fill="fdf6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17"/>
                <w:szCs w:val="17"/>
              </w:rPr>
              <w:t xml:space="preserve">กลาง</w:t>
            </w:r>
          </w:p>
        </w:tc>
        <w:tc>
          <w:tcPr>
            <w:tcW w:type="pct" w:w="12%"/>
            <w:shd w:fill="fbea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8a2a20"/>
                <w:sz w:val="17"/>
                <w:szCs w:val="17"/>
              </w:rPr>
              <w:t xml:space="preserve">สูง</w:t>
            </w:r>
          </w:p>
        </w:tc>
        <w:tc>
          <w:tcPr>
            <w:tcW w:type="pct" w:w="4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ใช้ PSK Encryption ทุก Proxy, ตั้ง Fail2ban/Rate-limit, จำกัด Whitelist IP ตามเอกสาร 1.3</w:t>
            </w:r>
          </w:p>
        </w:tc>
      </w:tr>
      <w:tr>
        <w:tc>
          <w:tcPr>
            <w:tcW w:type="pct" w:w="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R8</w:t>
            </w:r>
          </w:p>
        </w:tc>
        <w:tc>
          <w:tcPr>
            <w:tcW w:type="pct" w:w="3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นักศึกษาไม่เคยใช้ Ansible หรือ Cloud API มาก่อน (Skill Gap)</w:t>
            </w:r>
          </w:p>
        </w:tc>
        <w:tc>
          <w:tcPr>
            <w:tcW w:type="pct" w:w="12%"/>
            <w:shd w:fill="fdf6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17"/>
                <w:szCs w:val="17"/>
              </w:rPr>
              <w:t xml:space="preserve">กลาง</w:t>
            </w:r>
          </w:p>
        </w:tc>
        <w:tc>
          <w:tcPr>
            <w:tcW w:type="pct" w:w="12%"/>
            <w:shd w:fill="fdf6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17"/>
                <w:szCs w:val="17"/>
              </w:rPr>
              <w:t xml:space="preserve">กลาง</w:t>
            </w:r>
          </w:p>
        </w:tc>
        <w:tc>
          <w:tcPr>
            <w:tcW w:type="pct" w:w="4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จัดสรรเวลาช่วง Phase 1 ศึกษา Documentation และทำ Lab เล็กก่อนเริ่มงานจริง</w:t>
            </w:r>
          </w:p>
        </w:tc>
      </w:tr>
      <w:tr>
        <w:tc>
          <w:tcPr>
            <w:tcW w:type="pct" w:w="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R9</w:t>
            </w:r>
          </w:p>
        </w:tc>
        <w:tc>
          <w:tcPr>
            <w:tcW w:type="pct" w:w="3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กรรมการ/อาจารย์ที่ปรึกษาขอเพิ่ม Feature ระหว่างทาง (Scope Creep)</w:t>
            </w:r>
          </w:p>
        </w:tc>
        <w:tc>
          <w:tcPr>
            <w:tcW w:type="pct" w:w="12%"/>
            <w:shd w:fill="fdf6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17"/>
                <w:szCs w:val="17"/>
              </w:rPr>
              <w:t xml:space="preserve">กลาง</w:t>
            </w:r>
          </w:p>
        </w:tc>
        <w:tc>
          <w:tcPr>
            <w:tcW w:type="pct" w:w="12%"/>
            <w:shd w:fill="fdf6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17"/>
                <w:szCs w:val="17"/>
              </w:rPr>
              <w:t xml:space="preserve">กลาง</w:t>
            </w:r>
          </w:p>
        </w:tc>
        <w:tc>
          <w:tcPr>
            <w:tcW w:type="pct" w:w="4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ยึด Scope ตามเอกสาร 1.1-1.4 เป็นหลัก บันทึกข้อเสนอเพิ่มเติมไว้เป็น Future Work แทนการปรับ Scope กลางคัน</w:t>
            </w:r>
          </w:p>
        </w:tc>
      </w:tr>
      <w:tr>
        <w:tc>
          <w:tcPr>
            <w:tcW w:type="pct" w:w="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R10</w:t>
            </w:r>
          </w:p>
        </w:tc>
        <w:tc>
          <w:tcPr>
            <w:tcW w:type="pct" w:w="3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MariaDB เสียหายจาก Disk เต็มหรือ Service Crash ระหว่างเก็บข้อมูล History</w:t>
            </w:r>
          </w:p>
        </w:tc>
        <w:tc>
          <w:tcPr>
            <w:tcW w:type="pct" w:w="12%"/>
            <w:shd w:fill="eef7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2b6e2e"/>
                <w:sz w:val="17"/>
                <w:szCs w:val="17"/>
              </w:rPr>
              <w:t xml:space="preserve">ต่ำ</w:t>
            </w:r>
          </w:p>
        </w:tc>
        <w:tc>
          <w:tcPr>
            <w:tcW w:type="pct" w:w="12%"/>
            <w:shd w:fill="fbea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center"/>
            </w:pPr>
            <w:r>
              <w:rPr>
                <w:rFonts w:ascii="Noto Sans Thai" w:cs="Noto Sans Thai" w:eastAsia="Noto Sans Thai" w:hAnsi="Noto Sans Thai"/>
                <w:b/>
                <w:bCs/>
                <w:color w:val="8a2a20"/>
                <w:sz w:val="17"/>
                <w:szCs w:val="17"/>
              </w:rPr>
              <w:t xml:space="preserve">สูง</w:t>
            </w:r>
          </w:p>
        </w:tc>
        <w:tc>
          <w:tcPr>
            <w:tcW w:type="pct" w:w="4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ตั้ง Housekeeping ลบ History เก่าอัตโนมัติ, Monitor Disk Usage ของ Zabbix Server เอง, Backup รายสัปดาห์</w:t>
            </w:r>
          </w:p>
        </w:tc>
      </w:tr>
    </w:tbl>
    <w:p>
      <w:pPr>
        <w:spacing w:before="200"/>
      </w:pPr>
    </w:p>
    <w:p>
      <w:pPr>
        <w:pStyle w:val="Heading2"/>
        <w:pBdr>
          <w:left w:val="single" w:color="1f3a5f" w:sz="24" w:space="8"/>
        </w:pBdr>
        <w:shd w:fill="eef3f8" w:val="clear"/>
        <w:spacing w:after="140" w:before="260"/>
        <w:ind w:left="100"/>
      </w:pPr>
      <w:r>
        <w:rPr>
          <w:rFonts w:ascii="Noto Sans Thai" w:cs="Noto Sans Thai" w:eastAsia="Noto Sans Thai" w:hAnsi="Noto Sans Thai"/>
          <w:b/>
          <w:bCs/>
          <w:color w:val="16324f"/>
          <w:sz w:val="25"/>
          <w:szCs w:val="25"/>
        </w:rPr>
        <w:t xml:space="preserve">3.1 คำอธิบายระดับความเสี่ยง</w:t>
      </w:r>
    </w:p>
    <w:tbl>
      <w:tblPr>
        <w:tblW w:type="pct" w:w="100%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1350"/>
        <w:gridCol w:w="7650"/>
      </w:tblGrid>
      <w:tr>
        <w:trPr>
          <w:tblHeader/>
        </w:trPr>
        <w:tc>
          <w:tcPr>
            <w:tcW w:type="pct" w:w="15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ระดับ</w:t>
            </w:r>
          </w:p>
        </w:tc>
        <w:tc>
          <w:tcPr>
            <w:tcW w:type="pct" w:w="85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type="pct" w:w="15%"/>
            <w:shd w:fill="fbeae8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/>
                <w:bCs/>
                <w:color w:val="8a2a20"/>
                <w:sz w:val="17"/>
                <w:szCs w:val="17"/>
              </w:rPr>
              <w:t xml:space="preserve">สูง</w:t>
            </w:r>
          </w:p>
        </w:tc>
        <w:tc>
          <w:tcPr>
            <w:tcW w:type="pct" w:w="8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มีโอกาสเกิดสูงมาก หรือหากเกิดขึ้นจะส่งผลกระทบรุนแรงต่อ Timeline/คุณภาพงาน ต้องมีแผนรับมือที่ชัดเจนและติดตามใกล้ชิด</w:t>
            </w:r>
          </w:p>
        </w:tc>
      </w:tr>
      <w:tr>
        <w:tc>
          <w:tcPr>
            <w:tcW w:type="pct" w:w="15%"/>
            <w:shd w:fill="fdf6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17"/>
                <w:szCs w:val="17"/>
              </w:rPr>
              <w:t xml:space="preserve">กลาง</w:t>
            </w:r>
          </w:p>
        </w:tc>
        <w:tc>
          <w:tcPr>
            <w:tcW w:type="pct" w:w="85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มีโอกาสเกิดปานกลาง ผลกระทบพอจัดการได้หากเตรียมแผนไว้ล่วงหน้า</w:t>
            </w:r>
          </w:p>
        </w:tc>
      </w:tr>
      <w:tr>
        <w:tc>
          <w:tcPr>
            <w:tcW w:type="pct" w:w="15%"/>
            <w:shd w:fill="eef7ee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/>
                <w:bCs/>
                <w:color w:val="2b6e2e"/>
                <w:sz w:val="17"/>
                <w:szCs w:val="17"/>
              </w:rPr>
              <w:t xml:space="preserve">ต่ำ</w:t>
            </w:r>
          </w:p>
        </w:tc>
        <w:tc>
          <w:tcPr>
            <w:tcW w:type="pct" w:w="85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โอกาสเกิดน้อย หรือผลกระทบจำกัด ยังต้องเฝ้าระวังแต่ไม่ต้องวางแผนละเอียดมาก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4. แผนสำรองด้าน Timeline (Contingency Buffer)</w:t>
      </w:r>
    </w:p>
    <w:tbl>
      <w:tblPr>
        <w:tblW w:type="pct" w:w="100%"/>
        <w:tblBorders>
          <w:top w:val="single" w:color="fdf6ea" w:sz="2"/>
          <w:left w:val="single" w:color="c9932e" w:sz="24"/>
          <w:bottom w:val="single" w:color="fdf6ea" w:sz="2"/>
          <w:right w:val="single" w:color="fdf6ea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6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Noto Sans Thai" w:cs="Noto Sans Thai" w:eastAsia="Noto Sans Thai" w:hAnsi="Noto Sans Thai"/>
                <w:b/>
                <w:bCs/>
                <w:color w:val="93691c"/>
                <w:sz w:val="21"/>
                <w:szCs w:val="21"/>
              </w:rPr>
              <w:t xml:space="preserve">หลักการจัดการ Buffer:</w:t>
            </w:r>
          </w:p>
          <w:p>
            <w:pPr>
              <w:spacing w:after="40" w:line="300"/>
            </w:pPr>
            <w:r>
              <w:rPr>
                <w:rFonts w:ascii="Noto Sans Thai" w:cs="Noto Sans Thai" w:eastAsia="Noto Sans Thai" w:hAnsi="Noto Sans Thai"/>
                <w:color w:val="93691c"/>
                <w:sz w:val="20"/>
                <w:szCs w:val="20"/>
              </w:rPr>
              <w:t xml:space="preserve">Phase 3 (Cloud Integration) และ Phase 4 (Cost Layer) เป็นสองช่วงที่มีความเสี่ยงด้านเวลาสูงสุด เนื่องจากพึ่งพา External API และ Network Configuration ที่ควบคุมได้ยากกว่าส่วนอื่น</w:t>
            </w:r>
          </w:p>
          <w:p>
            <w:pPr>
              <w:spacing w:after="40" w:line="300"/>
            </w:pPr>
            <w:r>
              <w:rPr>
                <w:rFonts w:ascii="Noto Sans Thai" w:cs="Noto Sans Thai" w:eastAsia="Noto Sans Thai" w:hAnsi="Noto Sans Thai"/>
                <w:color w:val="93691c"/>
                <w:sz w:val="20"/>
                <w:szCs w:val="20"/>
              </w:rPr>
              <w:t xml:space="preserve">หากมีความล่าช้าใน Phase ใด ให้ดึง Buffer จาก Phase 5 (Alerting &amp; Polish) มาใช้ก่อน เนื่องจากเป็นงาน Polish ที่ตัดทอนได้โดยไม่กระทบ Core Feature</w:t>
            </w:r>
          </w:p>
          <w:p>
            <w:pPr>
              <w:spacing w:after="40" w:line="300"/>
            </w:pPr>
            <w:r>
              <w:rPr>
                <w:rFonts w:ascii="Noto Sans Thai" w:cs="Noto Sans Thai" w:eastAsia="Noto Sans Thai" w:hAnsi="Noto Sans Thai"/>
                <w:color w:val="93691c"/>
                <w:sz w:val="20"/>
                <w:szCs w:val="20"/>
              </w:rPr>
              <w:t xml:space="preserve">ห้ามดึง Buffer จาก Phase 6 (Final Deliverables) เนื่องจากเป็นสัปดาห์สุดท้ายที่ใช้เตรียมเอกสารและซ้อม Demo เท่านั้น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f3a5f" w:sz="16" w:space="4"/>
        </w:pBdr>
        <w:spacing w:after="180" w:before="320"/>
      </w:pPr>
      <w:r>
        <w:rPr>
          <w:rFonts w:ascii="Noto Sans Thai" w:cs="Noto Sans Thai" w:eastAsia="Noto Sans Thai" w:hAnsi="Noto Sans Thai"/>
          <w:b/>
          <w:bCs/>
          <w:color w:val="1f3a5f"/>
          <w:sz w:val="30"/>
          <w:szCs w:val="30"/>
        </w:rPr>
        <w:t xml:space="preserve">5. การทบทวนและปรับปรุงเอกสาร</w:t>
      </w:r>
    </w:p>
    <w:p>
      <w:pPr>
        <w:spacing w:after="120" w:before="0" w:line="320"/>
        <w:jc w:val="left"/>
      </w:pPr>
      <w:r>
        <w:rPr>
          <w:rFonts w:ascii="Noto Sans Thai" w:cs="Noto Sans Thai" w:eastAsia="Noto Sans Thai" w:hAnsi="Noto Sans Thai"/>
          <w:b w:val="false"/>
          <w:bCs w:val="false"/>
          <w:i w:val="false"/>
          <w:iCs w:val="false"/>
          <w:sz w:val="21"/>
          <w:szCs w:val="21"/>
        </w:rPr>
        <w:t xml:space="preserve">เอกสาร Risk Register นี้ควรถูกทบทวนทุกครั้งที่ถึง Milestone (ทุก 3-4 สัปดาห์) เพื่อปิดความเสี่ยงที่ผ่านไปแล้ว และเพิ่มความเสี่ยงใหม่ที่อาจพบระหว่างการพัฒนาจริง โดยบันทึกวันที่ทบทวนและผู้รับผิดชอบไว้ในตารางด้านล่าง</w:t>
      </w:r>
    </w:p>
    <w:tbl>
      <w:tblPr>
        <w:tblW w:type="pct" w:w="100%"/>
        <w:tblBorders>
          <w:top w:val="single" w:color="dde3ea" w:sz="4"/>
          <w:left w:val="single" w:color="dde3ea" w:sz="4"/>
          <w:bottom w:val="single" w:color="dde3ea" w:sz="4"/>
          <w:right w:val="single" w:color="dde3ea" w:sz="4"/>
          <w:insideH w:val="single" w:color="dde3ea" w:sz="4"/>
          <w:insideV w:val="single" w:color="dde3ea" w:sz="4"/>
        </w:tblBorders>
      </w:tblPr>
      <w:tblGrid>
        <w:gridCol w:w="900"/>
        <w:gridCol w:w="1980"/>
        <w:gridCol w:w="1980"/>
        <w:gridCol w:w="4140"/>
      </w:tblGrid>
      <w:tr>
        <w:trPr>
          <w:tblHeader/>
        </w:trPr>
        <w:tc>
          <w:tcPr>
            <w:tcW w:type="pct" w:w="10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รอบที่</w:t>
            </w:r>
          </w:p>
        </w:tc>
        <w:tc>
          <w:tcPr>
            <w:tcW w:type="pct" w:w="22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วันที่ทบทวน</w:t>
            </w:r>
          </w:p>
        </w:tc>
        <w:tc>
          <w:tcPr>
            <w:tcW w:type="pct" w:w="22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Milestone ที่เกี่ยวข้อง</w:t>
            </w:r>
          </w:p>
        </w:tc>
        <w:tc>
          <w:tcPr>
            <w:tcW w:type="pct" w:w="46%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Thai" w:cs="Noto Sans Thai" w:eastAsia="Noto Sans Thai" w:hAnsi="Noto Sans Thai"/>
                <w:b/>
                <w:bCs/>
                <w:color w:val="FFFFFF"/>
                <w:sz w:val="18"/>
                <w:szCs w:val="18"/>
              </w:rPr>
              <w:t xml:space="preserve">สรุปการเปลี่ยนแปลง</w:t>
            </w:r>
          </w:p>
        </w:tc>
      </w:tr>
      <w:tr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22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________________</w:t>
            </w:r>
          </w:p>
        </w:tc>
        <w:tc>
          <w:tcPr>
            <w:tcW w:type="pct" w:w="22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หลัง Week 3</w:t>
            </w:r>
          </w:p>
        </w:tc>
        <w:tc>
          <w:tcPr>
            <w:tcW w:type="pct" w:w="4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________________________________</w:t>
            </w:r>
          </w:p>
        </w:tc>
      </w:tr>
      <w:tr>
        <w:tc>
          <w:tcPr>
            <w:tcW w:type="pct" w:w="1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22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________________</w:t>
            </w:r>
          </w:p>
        </w:tc>
        <w:tc>
          <w:tcPr>
            <w:tcW w:type="pct" w:w="22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หลัง Week 6</w:t>
            </w:r>
          </w:p>
        </w:tc>
        <w:tc>
          <w:tcPr>
            <w:tcW w:type="pct" w:w="4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________________________________</w:t>
            </w:r>
          </w:p>
        </w:tc>
      </w:tr>
      <w:tr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22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________________</w:t>
            </w:r>
          </w:p>
        </w:tc>
        <w:tc>
          <w:tcPr>
            <w:tcW w:type="pct" w:w="22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หลัง Week 10</w:t>
            </w:r>
          </w:p>
        </w:tc>
        <w:tc>
          <w:tcPr>
            <w:tcW w:type="pct" w:w="4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________________________________</w:t>
            </w:r>
          </w:p>
        </w:tc>
      </w:tr>
      <w:tr>
        <w:tc>
          <w:tcPr>
            <w:tcW w:type="pct" w:w="10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pct" w:w="22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________________</w:t>
            </w:r>
          </w:p>
        </w:tc>
        <w:tc>
          <w:tcPr>
            <w:tcW w:type="pct" w:w="22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หลัง Week 13</w:t>
            </w:r>
          </w:p>
        </w:tc>
        <w:tc>
          <w:tcPr>
            <w:tcW w:type="pct" w:w="46%"/>
            <w:shd w:fill="f6f8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________________________________</w:t>
            </w:r>
          </w:p>
        </w:tc>
      </w:tr>
      <w:tr>
        <w:tc>
          <w:tcPr>
            <w:tcW w:type="pct" w:w="10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pct" w:w="22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________________</w:t>
            </w:r>
          </w:p>
        </w:tc>
        <w:tc>
          <w:tcPr>
            <w:tcW w:type="pct" w:w="22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หลัง Week 15</w:t>
            </w:r>
          </w:p>
        </w:tc>
        <w:tc>
          <w:tcPr>
            <w:tcW w:type="pct" w:w="46%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70"/>
              <w:jc w:val="left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7"/>
                <w:szCs w:val="17"/>
              </w:rPr>
              <w:t xml:space="preserve">________________________________</w:t>
            </w:r>
          </w:p>
        </w:tc>
      </w:tr>
    </w:tbl>
    <w:sectPr>
      <w:headerReference w:type="default" r:id="rId7"/>
      <w:footerReference w:type="default" r:id="rId8"/>
      <w:pgSz w:w="11907" w:h="16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Thai" w:cs="Noto Sans Thai" w:eastAsia="Noto Sans Thai" w:hAnsi="Noto Sans Tha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Thai" w:cs="Noto Sans Thai" w:eastAsia="Noto Sans Thai" w:hAnsi="Noto Sans Thai"/>
        <w:color w:val="999999"/>
        <w:sz w:val="16"/>
        <w:szCs w:val="16"/>
      </w:rPr>
      <w:t xml:space="preserve">1.4 Project Plan — Milestone &amp; Risk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2026-07-03T09:27:15.905Z</dcterms:created>
  <dcterms:modified xsi:type="dcterms:W3CDTF">2026-07-03T09:27:15.905Z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