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F497D"/>
          <w:sz w:val="56"/>
          <w:szCs w:val="56"/>
        </w:rPr>
        <w:t xml:space="preserve">AUA Fund Level Report</w:t>
      </w:r>
    </w:p>
    <w:p>
      <w:pPr>
        <w:spacing w:after="80" w:before="0"/>
      </w:pPr>
      <w:r>
        <w:rPr>
          <w:rFonts w:ascii="Arial" w:cs="Arial" w:eastAsia="Arial" w:hAnsi="Arial"/>
          <w:color w:val="555555"/>
          <w:sz w:val="26"/>
          <w:szCs w:val="26"/>
        </w:rPr>
        <w:t xml:space="preserve">Plain-Language Walkthrough + Data Map Guide + Flowchart Description</w:t>
      </w:r>
    </w:p>
    <w:p>
      <w:pPr>
        <w:spacing w:after="60" w:before="0"/>
      </w:pPr>
      <w:r>
        <w:rPr>
          <w:rFonts w:ascii="Arial" w:cs="Arial" w:eastAsia="Arial" w:hAnsi="Arial"/>
          <w:color w:val="777777"/>
          <w:sz w:val="22"/>
          <w:szCs w:val="22"/>
        </w:rPr>
        <w:t xml:space="preserve">Purpose: Unified Database Investigation</w:t>
      </w:r>
    </w:p>
    <w:p>
      <w:pPr>
        <w:spacing w:after="60" w:before="0"/>
      </w:pPr>
      <w:r>
        <w:rPr>
          <w:rFonts w:ascii="Arial" w:cs="Arial" w:eastAsia="Arial" w:hAnsi="Arial"/>
          <w:color w:val="777777"/>
          <w:sz w:val="22"/>
          <w:szCs w:val="22"/>
        </w:rPr>
        <w:t xml:space="preserve">April 2026</w:t>
      </w:r>
    </w:p>
    <w:p>
      <w:pPr>
        <w:spacing w:after="0" w:before="2880"/>
      </w:pPr>
      <w:r>
        <w:br w:type="page"/>
      </w:r>
    </w:p>
    <w:p>
      <w:pPr>
        <w:pStyle w:val="Heading1"/>
        <w:spacing w:after="120" w:before="360"/>
      </w:pPr>
      <w:r>
        <w:rPr>
          <w:rFonts w:ascii="Arial" w:cs="Arial" w:eastAsia="Arial" w:hAnsi="Arial"/>
          <w:b/>
          <w:bCs/>
          <w:color w:val="1F497D"/>
          <w:sz w:val="32"/>
          <w:szCs w:val="32"/>
        </w:rPr>
        <w:t xml:space="preserve">1.  What is this report — in plain English?</w:t>
      </w:r>
    </w:p>
    <w:p>
      <w:pPr>
        <w:spacing w:after="100" w:before="60"/>
      </w:pPr>
      <w:r>
        <w:rPr>
          <w:rFonts w:ascii="Arial" w:cs="Arial" w:eastAsia="Arial" w:hAnsi="Arial"/>
          <w:sz w:val="22"/>
          <w:szCs w:val="22"/>
        </w:rPr>
        <w:t xml:space="preserve">Imagine you are a manager who wants to know: for each financial adviser in the business, how much client money are they looking after — and specifically, in which funds is that money sitting? That is exactly what this report answers.</w:t>
      </w:r>
    </w:p>
    <w:p>
      <w:pPr>
        <w:spacing w:after="100" w:before="60"/>
      </w:pPr>
      <w:r>
        <w:rPr>
          <w:rFonts w:ascii="Arial" w:cs="Arial" w:eastAsia="Arial" w:hAnsi="Arial"/>
          <w:sz w:val="22"/>
          <w:szCs w:val="22"/>
        </w:rPr>
        <w:t xml:space="preserve">Every month, the system goes through every active client portfolio, finds each fund held inside it, figures out which adviser is responsible (and what share of it they own), and writes one row per combination of month + portfolio + fund + adviser. The output table is then wiped clean and rebuilt from scratch every single time it runs.</w:t>
      </w:r>
    </w:p>
    <w:p>
      <w:pPr>
        <w:spacing w:after="0" w:before="120"/>
      </w:pPr>
    </w:p>
    <w:p>
      <w:pPr>
        <w:pStyle w:val="Heading2"/>
        <w:spacing w:after="80" w:before="240"/>
      </w:pPr>
      <w:r>
        <w:rPr>
          <w:rFonts w:ascii="Arial" w:cs="Arial" w:eastAsia="Arial" w:hAnsi="Arial"/>
          <w:b/>
          <w:bCs/>
          <w:color w:val="2E74B5"/>
          <w:sz w:val="26"/>
          <w:szCs w:val="26"/>
        </w:rPr>
        <w:t xml:space="preserve">1.1  The single most important concept: the adviser split</w:t>
      </w:r>
    </w:p>
    <w:p>
      <w:pPr>
        <w:spacing w:after="100" w:before="60"/>
      </w:pPr>
      <w:r>
        <w:rPr>
          <w:rFonts w:ascii="Arial" w:cs="Arial" w:eastAsia="Arial" w:hAnsi="Arial"/>
          <w:sz w:val="22"/>
          <w:szCs w:val="22"/>
        </w:rPr>
        <w:t xml:space="preserve">A portfolio can be shared between two advisers. If Adviser A manages 60% and Adviser B manages 40% of a portfolio worth R1,000,000, then:</w:t>
      </w:r>
    </w:p>
    <w:p>
      <w:pPr>
        <w:pStyle w:val="ListParagraph"/>
        <w:numPr>
          <w:ilvl w:val="0"/>
          <w:numId w:val="2"/>
        </w:numPr>
        <w:spacing w:after="40" w:before="40"/>
      </w:pPr>
      <w:r>
        <w:rPr>
          <w:rFonts w:ascii="Arial" w:cs="Arial" w:eastAsia="Arial" w:hAnsi="Arial"/>
          <w:b/>
          <w:bCs/>
          <w:sz w:val="22"/>
          <w:szCs w:val="22"/>
        </w:rPr>
        <w:t xml:space="preserve">Adviser A's row shows: </w:t>
      </w:r>
      <w:r>
        <w:rPr>
          <w:rFonts w:ascii="Arial" w:cs="Arial" w:eastAsia="Arial" w:hAnsi="Arial"/>
          <w:sz w:val="22"/>
          <w:szCs w:val="22"/>
        </w:rPr>
        <w:t xml:space="preserve">R600,000</w:t>
      </w:r>
    </w:p>
    <w:p>
      <w:pPr>
        <w:pStyle w:val="ListParagraph"/>
        <w:numPr>
          <w:ilvl w:val="0"/>
          <w:numId w:val="2"/>
        </w:numPr>
        <w:spacing w:after="40" w:before="40"/>
      </w:pPr>
      <w:r>
        <w:rPr>
          <w:rFonts w:ascii="Arial" w:cs="Arial" w:eastAsia="Arial" w:hAnsi="Arial"/>
          <w:b/>
          <w:bCs/>
          <w:sz w:val="22"/>
          <w:szCs w:val="22"/>
        </w:rPr>
        <w:t xml:space="preserve">Adviser B's row shows: </w:t>
      </w:r>
      <w:r>
        <w:rPr>
          <w:rFonts w:ascii="Arial" w:cs="Arial" w:eastAsia="Arial" w:hAnsi="Arial"/>
          <w:sz w:val="22"/>
          <w:szCs w:val="22"/>
        </w:rPr>
        <w:t xml:space="preserve">R400,000</w:t>
      </w:r>
    </w:p>
    <w:p>
      <w:pPr>
        <w:spacing w:after="0" w:before="60"/>
      </w:pPr>
    </w:p>
    <w:p>
      <w:pPr>
        <w:spacing w:after="100" w:before="60"/>
      </w:pPr>
      <w:r>
        <w:rPr>
          <w:rFonts w:ascii="Arial" w:cs="Arial" w:eastAsia="Arial" w:hAnsi="Arial"/>
          <w:sz w:val="22"/>
          <w:szCs w:val="22"/>
        </w:rPr>
        <w:t xml:space="preserve">This split is what makes the report powerful — it correctly attributes value to each adviser rather than double-counting.</w:t>
      </w:r>
    </w:p>
    <w:p>
      <w:pPr>
        <w:spacing w:after="0" w:before="120"/>
      </w:pPr>
    </w:p>
    <w:p>
      <w:pPr>
        <w:pStyle w:val="Heading2"/>
        <w:spacing w:after="80" w:before="240"/>
      </w:pPr>
      <w:r>
        <w:rPr>
          <w:rFonts w:ascii="Arial" w:cs="Arial" w:eastAsia="Arial" w:hAnsi="Arial"/>
          <w:b/>
          <w:bCs/>
          <w:color w:val="2E74B5"/>
          <w:sz w:val="26"/>
          <w:szCs w:val="26"/>
        </w:rPr>
        <w:t xml:space="preserve">1.2  What counts as a value, and what does not?</w:t>
      </w:r>
    </w:p>
    <w:p>
      <w:pPr>
        <w:spacing w:after="100" w:before="60"/>
      </w:pPr>
      <w:r>
        <w:rPr>
          <w:rFonts w:ascii="Arial" w:cs="Arial" w:eastAsia="Arial" w:hAnsi="Arial"/>
          <w:sz w:val="22"/>
          <w:szCs w:val="22"/>
        </w:rPr>
        <w:t xml:space="preserve">Only investment products (unit trusts, RAs, TFSAs etc.) carry a rand value in this report. Non-investment products — risk cover, medical aid, short-term insurance — appear in the report but their market value is recorded as zero. They are included so advisers can see all client contracts in one place, not just investment ones.</w:t>
      </w:r>
    </w:p>
    <w:p>
      <w:pPr>
        <w:spacing w:after="0" w:before="120"/>
      </w:pPr>
    </w:p>
    <w:p>
      <w:pPr>
        <w:pStyle w:val="Heading2"/>
        <w:spacing w:after="80" w:before="240"/>
      </w:pPr>
      <w:r>
        <w:rPr>
          <w:rFonts w:ascii="Arial" w:cs="Arial" w:eastAsia="Arial" w:hAnsi="Arial"/>
          <w:b/>
          <w:bCs/>
          <w:color w:val="2E74B5"/>
          <w:sz w:val="26"/>
          <w:szCs w:val="26"/>
        </w:rPr>
        <w:t xml:space="preserve">1.3  How far back does the data go?</w:t>
      </w:r>
    </w:p>
    <w:p>
      <w:pPr>
        <w:spacing w:after="100" w:before="60"/>
      </w:pPr>
      <w:r>
        <w:rPr>
          <w:rFonts w:ascii="Arial" w:cs="Arial" w:eastAsia="Arial" w:hAnsi="Arial"/>
          <w:sz w:val="22"/>
          <w:szCs w:val="22"/>
        </w:rPr>
        <w:t xml:space="preserve">The report always covers the most recent five years. Older data is not included. This is intentional — it keeps the table a manageable size while still supporting multi-year trend analysis.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KEY CONCEPT  </w:t>
            </w:r>
            <w:r>
              <w:rPr>
                <w:rFonts w:ascii="Arial" w:cs="Arial" w:eastAsia="Arial" w:hAnsi="Arial"/>
                <w:color w:val="404040"/>
                <w:sz w:val="20"/>
                <w:szCs w:val="20"/>
              </w:rPr>
              <w:t xml:space="preserve">When someone says 'AUA' in a conversation, they mean the total rand value of investment assets that an adviser is responsible for. This report is the source of that number.</w:t>
            </w:r>
          </w:p>
        </w:tc>
      </w:tr>
    </w:tbl>
    <w:p>
      <w:pPr>
        <w:spacing w:after="0" w:before="200"/>
      </w:pPr>
    </w:p>
    <w:p>
      <w:pPr>
        <w:pStyle w:val="Heading1"/>
        <w:spacing w:after="120" w:before="360"/>
      </w:pPr>
      <w:r>
        <w:rPr>
          <w:rFonts w:ascii="Arial" w:cs="Arial" w:eastAsia="Arial" w:hAnsi="Arial"/>
          <w:b/>
          <w:bCs/>
          <w:color w:val="1F497D"/>
          <w:sz w:val="32"/>
          <w:szCs w:val="32"/>
        </w:rPr>
        <w:t xml:space="preserve">2.  Where does the data come from?</w:t>
      </w:r>
    </w:p>
    <w:p>
      <w:pPr>
        <w:spacing w:after="100" w:before="60"/>
      </w:pPr>
      <w:r>
        <w:rPr>
          <w:rFonts w:ascii="Arial" w:cs="Arial" w:eastAsia="Arial" w:hAnsi="Arial"/>
          <w:sz w:val="22"/>
          <w:szCs w:val="22"/>
        </w:rPr>
        <w:t xml:space="preserve">The report pulls from five groups of tables, each playing a different role. Think of these as five departments that each contribute a piece of information: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Domain</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Tables involved</w:t>
            </w:r>
          </w:p>
        </w:tc>
        <w:tc>
          <w:tcPr>
            <w:tcW w:type="dxa" w:w="5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contributes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Portfolio Core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tempPortfolioDetails
tempPortfolioValues
tempPortfolioAssetSplit_Test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The actual contracts, their monthly values, and how those values are split across advisers. This is the spine — everything else hangs off it.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Adviser / Staff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tempStaffDetails
tempClientStaffRelationNew
SalesPerson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Who the adviser is, their F-number, what region they belong to, and their role.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Client / Entity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tempEntityDetails
vCoManager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Who the client is — their name, UCN, ID number, entity type (individual or company). FNB Trust clients are excluded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Product &amp; Fund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tempInstrumentDetails (x2)
InstrumentSupplier (x2)
tempCommissionPerMonth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The product wrapper (e.g. Retirement Annuity) and the fund sitting inside it (e.g. Allan Gray Balanced). Also the commission rate.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Analytics Overlays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Security
Customer_Monthly_Segmentation
FeeGroupMember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Classification tags — house view status, local vs offshore, client banking segment. These do not affect the rand value, they just add context.</w:t>
            </w:r>
          </w:p>
        </w:tc>
      </w:tr>
    </w:tbl>
    <w:p>
      <w:pPr>
        <w:spacing w:after="0" w:before="200"/>
      </w:pPr>
    </w:p>
    <w:p>
      <w:pPr>
        <w:pStyle w:val="Heading1"/>
        <w:spacing w:after="120" w:before="360"/>
      </w:pPr>
      <w:r>
        <w:rPr>
          <w:rFonts w:ascii="Arial" w:cs="Arial" w:eastAsia="Arial" w:hAnsi="Arial"/>
          <w:b/>
          <w:bCs/>
          <w:color w:val="1F497D"/>
          <w:sz w:val="32"/>
          <w:szCs w:val="32"/>
        </w:rPr>
        <w:t xml:space="preserve">3.  How to read the Excel Data Map</w:t>
      </w:r>
    </w:p>
    <w:p>
      <w:pPr>
        <w:spacing w:after="100" w:before="60"/>
      </w:pPr>
      <w:r>
        <w:rPr>
          <w:rFonts w:ascii="Arial" w:cs="Arial" w:eastAsia="Arial" w:hAnsi="Arial"/>
          <w:sz w:val="22"/>
          <w:szCs w:val="22"/>
        </w:rPr>
        <w:t xml:space="preserve">The Excel file (AUA_DataMap.xlsx) is your investigation toolkit. It has four sheets, each designed to answer a different question about the data relationships. Here is how to use each one.</w:t>
      </w:r>
    </w:p>
    <w:p>
      <w:pPr>
        <w:spacing w:after="0" w:before="120"/>
      </w:pPr>
    </w:p>
    <w:p>
      <w:pPr>
        <w:pStyle w:val="Heading2"/>
        <w:spacing w:after="80" w:before="240"/>
      </w:pPr>
      <w:r>
        <w:rPr>
          <w:rFonts w:ascii="Arial" w:cs="Arial" w:eastAsia="Arial" w:hAnsi="Arial"/>
          <w:b/>
          <w:bCs/>
          <w:color w:val="2E74B5"/>
          <w:sz w:val="26"/>
          <w:szCs w:val="26"/>
        </w:rPr>
        <w:t xml:space="preserve">3.1  Sheet 1 — Alias Map  (start here for join questions)</w:t>
      </w:r>
    </w:p>
    <w:p>
      <w:pPr>
        <w:spacing w:after="100" w:before="60"/>
      </w:pPr>
      <w:r>
        <w:rPr>
          <w:rFonts w:ascii="Arial" w:cs="Arial" w:eastAsia="Arial" w:hAnsi="Arial"/>
          <w:sz w:val="22"/>
          <w:szCs w:val="22"/>
        </w:rPr>
        <w:t xml:space="preserve">This sheet answers: "I see the same concept appearing under different names in different tables — are they actually the same thing?"</w:t>
      </w:r>
    </w:p>
    <w:p>
      <w:pPr>
        <w:spacing w:after="100" w:before="60"/>
      </w:pPr>
      <w:r>
        <w:rPr>
          <w:rFonts w:ascii="Arial" w:cs="Arial" w:eastAsia="Arial" w:hAnsi="Arial"/>
          <w:sz w:val="22"/>
          <w:szCs w:val="22"/>
        </w:rPr>
        <w:t xml:space="preserve">For example, the adviser's unique ID is called EntityID in the staff table but BrokerEntityID in the asset split table. The Alias Map confirms these are the same concept and tells you if any extra logic (like a data type cast) is needed to join them safely.</w:t>
      </w:r>
    </w:p>
    <w:p>
      <w:pPr>
        <w:spacing w:after="0" w:before="60"/>
      </w:pPr>
    </w:p>
    <w:p>
      <w:pPr>
        <w:spacing w:after="100" w:before="60"/>
      </w:pPr>
      <w:r>
        <w:rPr>
          <w:rFonts w:ascii="Arial" w:cs="Arial" w:eastAsia="Arial" w:hAnsi="Arial"/>
          <w:b/>
          <w:bCs/>
          <w:sz w:val="22"/>
          <w:szCs w:val="22"/>
        </w:rPr>
        <w:t xml:space="preserve">How to use it:</w:t>
      </w:r>
    </w:p>
    <w:p>
      <w:pPr>
        <w:pStyle w:val="ListParagraph"/>
        <w:numPr>
          <w:ilvl w:val="0"/>
          <w:numId w:val="2"/>
        </w:numPr>
        <w:spacing w:after="40" w:before="40"/>
      </w:pPr>
      <w:r>
        <w:rPr>
          <w:rFonts w:ascii="Arial" w:cs="Arial" w:eastAsia="Arial" w:hAnsi="Arial"/>
          <w:sz w:val="22"/>
          <w:szCs w:val="22"/>
        </w:rPr>
        <w:t xml:space="preserve">Pick a concept you want to trace — e.g. 'client identifier' or 'adviser ID'</w:t>
      </w:r>
    </w:p>
    <w:p>
      <w:pPr>
        <w:pStyle w:val="ListParagraph"/>
        <w:numPr>
          <w:ilvl w:val="0"/>
          <w:numId w:val="2"/>
        </w:numPr>
        <w:spacing w:after="40" w:before="40"/>
      </w:pPr>
      <w:r>
        <w:rPr>
          <w:rFonts w:ascii="Arial" w:cs="Arial" w:eastAsia="Arial" w:hAnsi="Arial"/>
          <w:sz w:val="22"/>
          <w:szCs w:val="22"/>
        </w:rPr>
        <w:t xml:space="preserve">Find that concept in the Concept column</w:t>
      </w:r>
    </w:p>
    <w:p>
      <w:pPr>
        <w:pStyle w:val="ListParagraph"/>
        <w:numPr>
          <w:ilvl w:val="0"/>
          <w:numId w:val="2"/>
        </w:numPr>
        <w:spacing w:after="40" w:before="40"/>
      </w:pPr>
      <w:r>
        <w:rPr>
          <w:rFonts w:ascii="Arial" w:cs="Arial" w:eastAsia="Arial" w:hAnsi="Arial"/>
          <w:sz w:val="22"/>
          <w:szCs w:val="22"/>
        </w:rPr>
        <w:t xml:space="preserve">Read across to see what it is called in Table A and Table B</w:t>
      </w:r>
    </w:p>
    <w:p>
      <w:pPr>
        <w:pStyle w:val="ListParagraph"/>
        <w:numPr>
          <w:ilvl w:val="0"/>
          <w:numId w:val="2"/>
        </w:numPr>
        <w:spacing w:after="40" w:before="40"/>
      </w:pPr>
      <w:r>
        <w:rPr>
          <w:rFonts w:ascii="Arial" w:cs="Arial" w:eastAsia="Arial" w:hAnsi="Arial"/>
          <w:b/>
          <w:bCs/>
          <w:sz w:val="22"/>
          <w:szCs w:val="22"/>
        </w:rPr>
        <w:t xml:space="preserve">Check the 'Confirmed Same?' column:</w:t>
      </w:r>
      <w:r>
        <w:rPr>
          <w:rFonts w:ascii="Arial" w:cs="Arial" w:eastAsia="Arial" w:hAnsi="Arial"/>
          <w:sz w:val="22"/>
          <w:szCs w:val="22"/>
        </w:rPr>
        <w:t xml:space="preserve"> YES = safe to join. PARTIAL = join needs extra logic. NO — MISSING = the join is broken or missing entirely.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RISK  </w:t>
            </w:r>
            <w:r>
              <w:rPr>
                <w:rFonts w:ascii="Arial" w:cs="Arial" w:eastAsia="Arial" w:hAnsi="Arial"/>
                <w:color w:val="404040"/>
                <w:sz w:val="20"/>
                <w:szCs w:val="20"/>
              </w:rPr>
              <w:t xml:space="preserve">The most important NO — MISSING entry right now: the segmentation table join (Customer_Monthly_Segmentation) does NOT filter on year-month. This means a client with records in multiple months fans out into duplicate rows, inflating AUA totals.</w:t>
            </w:r>
          </w:p>
        </w:tc>
      </w:tr>
    </w:tbl>
    <w:p>
      <w:pPr>
        <w:spacing w:after="0" w:before="200"/>
      </w:pPr>
    </w:p>
    <w:p>
      <w:pPr>
        <w:pStyle w:val="Heading2"/>
        <w:spacing w:after="80" w:before="240"/>
      </w:pPr>
      <w:r>
        <w:rPr>
          <w:rFonts w:ascii="Arial" w:cs="Arial" w:eastAsia="Arial" w:hAnsi="Arial"/>
          <w:b/>
          <w:bCs/>
          <w:color w:val="2E74B5"/>
          <w:sz w:val="26"/>
          <w:szCs w:val="26"/>
        </w:rPr>
        <w:t xml:space="preserve">3.2  Sheet 2 — Table Register  (use this to decide what to keep)</w:t>
      </w:r>
    </w:p>
    <w:p>
      <w:pPr>
        <w:spacing w:after="100" w:before="60"/>
      </w:pPr>
      <w:r>
        <w:rPr>
          <w:rFonts w:ascii="Arial" w:cs="Arial" w:eastAsia="Arial" w:hAnsi="Arial"/>
          <w:sz w:val="22"/>
          <w:szCs w:val="22"/>
        </w:rPr>
        <w:t xml:space="preserve">This sheet is your map of every table in the query. For each table it tells you:</w:t>
      </w:r>
    </w:p>
    <w:p>
      <w:pPr>
        <w:pStyle w:val="ListParagraph"/>
        <w:numPr>
          <w:ilvl w:val="0"/>
          <w:numId w:val="2"/>
        </w:numPr>
        <w:spacing w:after="40" w:before="40"/>
      </w:pPr>
      <w:r>
        <w:rPr>
          <w:rFonts w:ascii="Arial" w:cs="Arial" w:eastAsia="Arial" w:hAnsi="Arial"/>
          <w:sz w:val="22"/>
          <w:szCs w:val="22"/>
        </w:rPr>
        <w:t xml:space="preserve">What domain it belongs to</w:t>
      </w:r>
    </w:p>
    <w:p>
      <w:pPr>
        <w:pStyle w:val="ListParagraph"/>
        <w:numPr>
          <w:ilvl w:val="0"/>
          <w:numId w:val="2"/>
        </w:numPr>
        <w:spacing w:after="40" w:before="40"/>
      </w:pPr>
      <w:r>
        <w:rPr>
          <w:rFonts w:ascii="Arial" w:cs="Arial" w:eastAsia="Arial" w:hAnsi="Arial"/>
          <w:sz w:val="22"/>
          <w:szCs w:val="22"/>
        </w:rPr>
        <w:t xml:space="preserve">How it joins (INNER, LEFT, OUTER APPLY)</w:t>
      </w:r>
    </w:p>
    <w:p>
      <w:pPr>
        <w:pStyle w:val="ListParagraph"/>
        <w:numPr>
          <w:ilvl w:val="0"/>
          <w:numId w:val="2"/>
        </w:numPr>
        <w:spacing w:after="40" w:before="40"/>
      </w:pPr>
      <w:r>
        <w:rPr>
          <w:rFonts w:ascii="Arial" w:cs="Arial" w:eastAsia="Arial" w:hAnsi="Arial"/>
          <w:sz w:val="22"/>
          <w:szCs w:val="22"/>
        </w:rPr>
        <w:t xml:space="preserve">What key it joins on</w:t>
      </w:r>
    </w:p>
    <w:p>
      <w:pPr>
        <w:pStyle w:val="ListParagraph"/>
        <w:numPr>
          <w:ilvl w:val="0"/>
          <w:numId w:val="2"/>
        </w:numPr>
        <w:spacing w:after="40" w:before="40"/>
      </w:pPr>
      <w:r>
        <w:rPr>
          <w:rFonts w:ascii="Arial" w:cs="Arial" w:eastAsia="Arial" w:hAnsi="Arial"/>
          <w:sz w:val="22"/>
          <w:szCs w:val="22"/>
        </w:rPr>
        <w:t xml:space="preserve">Whether it can be dropped if you don't need what it provides</w:t>
      </w:r>
    </w:p>
    <w:p>
      <w:pPr>
        <w:pStyle w:val="ListParagraph"/>
        <w:numPr>
          <w:ilvl w:val="0"/>
          <w:numId w:val="2"/>
        </w:numPr>
        <w:spacing w:after="40" w:before="40"/>
      </w:pPr>
      <w:r>
        <w:rPr>
          <w:rFonts w:ascii="Arial" w:cs="Arial" w:eastAsia="Arial" w:hAnsi="Arial"/>
          <w:sz w:val="22"/>
          <w:szCs w:val="22"/>
        </w:rPr>
        <w:t xml:space="preserve">Its current status (Active, Risk, Decommissioned)</w:t>
      </w:r>
    </w:p>
    <w:p>
      <w:pPr>
        <w:spacing w:after="0" w:before="60"/>
      </w:pPr>
    </w:p>
    <w:p>
      <w:pPr>
        <w:spacing w:after="100" w:before="60"/>
      </w:pPr>
      <w:r>
        <w:rPr>
          <w:rFonts w:ascii="Arial" w:cs="Arial" w:eastAsia="Arial" w:hAnsi="Arial"/>
          <w:b/>
          <w:bCs/>
          <w:sz w:val="22"/>
          <w:szCs w:val="22"/>
        </w:rPr>
        <w:t xml:space="preserve">How to use it for the unified DB investigation:</w:t>
      </w:r>
    </w:p>
    <w:p>
      <w:pPr>
        <w:spacing w:after="100" w:before="60"/>
      </w:pPr>
      <w:r>
        <w:rPr>
          <w:rFonts w:ascii="Arial" w:cs="Arial" w:eastAsia="Arial" w:hAnsi="Arial"/>
          <w:sz w:val="22"/>
          <w:szCs w:val="22"/>
        </w:rPr>
        <w:t xml:space="preserve">Focus on the 'Can Drop?' and 'Risk Level' columns. Tables marked YES in 'Can Drop?' are optional — if the unified DB already has that data elsewhere, you can skip the join. Tables marked RISK are ones that need fixing before they are safe to use.</w:t>
      </w:r>
    </w:p>
    <w:p>
      <w:pPr>
        <w:spacing w:after="0" w:before="60"/>
      </w:pPr>
    </w:p>
    <w:p>
      <w:pPr>
        <w:spacing w:after="100" w:before="60"/>
      </w:pPr>
      <w:r>
        <w:rPr>
          <w:rFonts w:ascii="Arial" w:cs="Arial" w:eastAsia="Arial" w:hAnsi="Arial"/>
          <w:b/>
          <w:bCs/>
          <w:sz w:val="22"/>
          <w:szCs w:val="22"/>
        </w:rPr>
        <w:t xml:space="preserve">Key patterns to spot:</w:t>
      </w:r>
    </w:p>
    <w:p>
      <w:pPr>
        <w:pStyle w:val="ListParagraph"/>
        <w:numPr>
          <w:ilvl w:val="0"/>
          <w:numId w:val="2"/>
        </w:numPr>
        <w:spacing w:after="40" w:before="40"/>
      </w:pPr>
      <w:r>
        <w:rPr>
          <w:rFonts w:ascii="Arial" w:cs="Arial" w:eastAsia="Arial" w:hAnsi="Arial"/>
          <w:b/>
          <w:bCs/>
          <w:sz w:val="22"/>
          <w:szCs w:val="22"/>
        </w:rPr>
        <w:t xml:space="preserve">INNER JOIN tables</w:t>
      </w:r>
      <w:r>
        <w:rPr>
          <w:rFonts w:ascii="Arial" w:cs="Arial" w:eastAsia="Arial" w:hAnsi="Arial"/>
          <w:sz w:val="22"/>
          <w:szCs w:val="22"/>
        </w:rPr>
        <w:t xml:space="preserve"> — dropping these removes rows. They are mandatory. tempPortfolioValues and tempEntityDetails are the two critical ones.</w:t>
      </w:r>
    </w:p>
    <w:p>
      <w:pPr>
        <w:pStyle w:val="ListParagraph"/>
        <w:numPr>
          <w:ilvl w:val="0"/>
          <w:numId w:val="2"/>
        </w:numPr>
        <w:spacing w:after="40" w:before="40"/>
      </w:pPr>
      <w:r>
        <w:rPr>
          <w:rFonts w:ascii="Arial" w:cs="Arial" w:eastAsia="Arial" w:hAnsi="Arial"/>
          <w:b/>
          <w:bCs/>
          <w:sz w:val="22"/>
          <w:szCs w:val="22"/>
        </w:rPr>
        <w:t xml:space="preserve">LEFT JOIN tables</w:t>
      </w:r>
      <w:r>
        <w:rPr>
          <w:rFonts w:ascii="Arial" w:cs="Arial" w:eastAsia="Arial" w:hAnsi="Arial"/>
          <w:sz w:val="22"/>
          <w:szCs w:val="22"/>
        </w:rPr>
        <w:t xml:space="preserve"> — dropping these just leaves NULLs in those columns. Safe to drop if you don't need those fields.</w:t>
      </w:r>
    </w:p>
    <w:p>
      <w:pPr>
        <w:pStyle w:val="ListParagraph"/>
        <w:numPr>
          <w:ilvl w:val="0"/>
          <w:numId w:val="2"/>
        </w:numPr>
        <w:spacing w:after="40" w:before="40"/>
      </w:pPr>
      <w:r>
        <w:rPr>
          <w:rFonts w:ascii="Arial" w:cs="Arial" w:eastAsia="Arial" w:hAnsi="Arial"/>
          <w:b/>
          <w:bCs/>
          <w:sz w:val="22"/>
          <w:szCs w:val="22"/>
        </w:rPr>
        <w:t xml:space="preserve">OUTER APPLY</w:t>
      </w:r>
      <w:r>
        <w:rPr>
          <w:rFonts w:ascii="Arial" w:cs="Arial" w:eastAsia="Arial" w:hAnsi="Arial"/>
          <w:sz w:val="22"/>
          <w:szCs w:val="22"/>
        </w:rPr>
        <w:t xml:space="preserve"> — the FeeGroupMember table uses this. It is non-deterministic (random result each run) until fixed with an ORDER BY.</w:t>
      </w:r>
    </w:p>
    <w:p>
      <w:pPr>
        <w:pStyle w:val="ListParagraph"/>
        <w:numPr>
          <w:ilvl w:val="0"/>
          <w:numId w:val="2"/>
        </w:numPr>
        <w:spacing w:after="40" w:before="40"/>
      </w:pPr>
      <w:r>
        <w:rPr>
          <w:rFonts w:ascii="Arial" w:cs="Arial" w:eastAsia="Arial" w:hAnsi="Arial"/>
          <w:b/>
          <w:bCs/>
          <w:sz w:val="22"/>
          <w:szCs w:val="22"/>
        </w:rPr>
        <w:t xml:space="preserve">DECOMMISSIONED</w:t>
      </w:r>
      <w:r>
        <w:rPr>
          <w:rFonts w:ascii="Arial" w:cs="Arial" w:eastAsia="Arial" w:hAnsi="Arial"/>
          <w:sz w:val="22"/>
          <w:szCs w:val="22"/>
        </w:rPr>
        <w:t xml:space="preserve"> — Umbrella and fnChannelToRegion are dead. Their code exists only as commented-out SQL. Safe to fully remove.</w:t>
      </w:r>
    </w:p>
    <w:p>
      <w:pPr>
        <w:spacing w:after="0" w:before="200"/>
      </w:pPr>
    </w:p>
    <w:p>
      <w:pPr>
        <w:pStyle w:val="Heading2"/>
        <w:spacing w:after="80" w:before="240"/>
      </w:pPr>
      <w:r>
        <w:rPr>
          <w:rFonts w:ascii="Arial" w:cs="Arial" w:eastAsia="Arial" w:hAnsi="Arial"/>
          <w:b/>
          <w:bCs/>
          <w:color w:val="2E74B5"/>
          <w:sz w:val="26"/>
          <w:szCs w:val="26"/>
        </w:rPr>
        <w:t xml:space="preserve">3.3  Sheet 3 — Field Glossary  (use this to understand any output column)</w:t>
      </w:r>
    </w:p>
    <w:p>
      <w:pPr>
        <w:spacing w:after="100" w:before="60"/>
      </w:pPr>
      <w:r>
        <w:rPr>
          <w:rFonts w:ascii="Arial" w:cs="Arial" w:eastAsia="Arial" w:hAnsi="Arial"/>
          <w:sz w:val="22"/>
          <w:szCs w:val="22"/>
        </w:rPr>
        <w:t xml:space="preserve">This sheet is a dictionary of every single output column. For each field it tells you: which table and column it comes from, what it is called in other systems (aliases), whether it is actually populated in practice, and whether it should be kept.</w:t>
      </w:r>
    </w:p>
    <w:p>
      <w:pPr>
        <w:spacing w:after="0" w:before="60"/>
      </w:pPr>
    </w:p>
    <w:p>
      <w:pPr>
        <w:spacing w:after="100" w:before="60"/>
      </w:pPr>
      <w:r>
        <w:rPr>
          <w:rFonts w:ascii="Arial" w:cs="Arial" w:eastAsia="Arial" w:hAnsi="Arial"/>
          <w:b/>
          <w:bCs/>
          <w:sz w:val="22"/>
          <w:szCs w:val="22"/>
        </w:rPr>
        <w:t xml:space="preserve">How to use it:</w:t>
      </w:r>
    </w:p>
    <w:p>
      <w:pPr>
        <w:pStyle w:val="ListParagraph"/>
        <w:numPr>
          <w:ilvl w:val="0"/>
          <w:numId w:val="2"/>
        </w:numPr>
        <w:spacing w:after="40" w:before="40"/>
      </w:pPr>
      <w:r>
        <w:rPr>
          <w:rFonts w:ascii="Arial" w:cs="Arial" w:eastAsia="Arial" w:hAnsi="Arial"/>
          <w:sz w:val="22"/>
          <w:szCs w:val="22"/>
        </w:rPr>
        <w:t xml:space="preserve">If someone asks 'what is UCN?' — look it up here. It maps to CUST_NO in the segmentation system.</w:t>
      </w:r>
    </w:p>
    <w:p>
      <w:pPr>
        <w:pStyle w:val="ListParagraph"/>
        <w:numPr>
          <w:ilvl w:val="0"/>
          <w:numId w:val="2"/>
        </w:numPr>
        <w:spacing w:after="40" w:before="40"/>
      </w:pPr>
      <w:r>
        <w:rPr>
          <w:rFonts w:ascii="Arial" w:cs="Arial" w:eastAsia="Arial" w:hAnsi="Arial"/>
          <w:sz w:val="22"/>
          <w:szCs w:val="22"/>
        </w:rPr>
        <w:t xml:space="preserve">If you are designing the unified DB schema, use the 'Keep?' column to decide which fields are worth carrying forward.</w:t>
      </w:r>
    </w:p>
    <w:p>
      <w:pPr>
        <w:pStyle w:val="ListParagraph"/>
        <w:numPr>
          <w:ilvl w:val="0"/>
          <w:numId w:val="2"/>
        </w:numPr>
        <w:spacing w:after="40" w:before="40"/>
      </w:pPr>
      <w:r>
        <w:rPr>
          <w:rFonts w:ascii="Arial" w:cs="Arial" w:eastAsia="Arial" w:hAnsi="Arial"/>
          <w:sz w:val="22"/>
          <w:szCs w:val="22"/>
        </w:rPr>
        <w:t xml:space="preserve">Fields marked RISK in the 'Keep?' column are ones that come from the broken joins — their values may be duplicated or wrong.</w:t>
      </w:r>
    </w:p>
    <w:p>
      <w:pPr>
        <w:pStyle w:val="ListParagraph"/>
        <w:numPr>
          <w:ilvl w:val="0"/>
          <w:numId w:val="2"/>
        </w:numPr>
        <w:spacing w:after="40" w:before="40"/>
      </w:pPr>
      <w:r>
        <w:rPr>
          <w:rFonts w:ascii="Arial" w:cs="Arial" w:eastAsia="Arial" w:hAnsi="Arial"/>
          <w:sz w:val="22"/>
          <w:szCs w:val="22"/>
        </w:rPr>
        <w:t xml:space="preserve">Fields marked DERIVED are calculated — they don't exist as raw columns anywhere, they are assembled by CASE logic in the SQL.</w:t>
      </w:r>
    </w:p>
    <w:p>
      <w:pPr>
        <w:spacing w:after="0" w:before="200"/>
      </w:pPr>
    </w:p>
    <w:p>
      <w:pPr>
        <w:pStyle w:val="Heading2"/>
        <w:spacing w:after="80" w:before="240"/>
      </w:pPr>
      <w:r>
        <w:rPr>
          <w:rFonts w:ascii="Arial" w:cs="Arial" w:eastAsia="Arial" w:hAnsi="Arial"/>
          <w:b/>
          <w:bCs/>
          <w:color w:val="2E74B5"/>
          <w:sz w:val="26"/>
          <w:szCs w:val="26"/>
        </w:rPr>
        <w:t xml:space="preserve">3.4  Sheet 4 — Issues Tracker  (your action list)</w:t>
      </w:r>
    </w:p>
    <w:p>
      <w:pPr>
        <w:spacing w:after="100" w:before="60"/>
      </w:pPr>
      <w:r>
        <w:rPr>
          <w:rFonts w:ascii="Arial" w:cs="Arial" w:eastAsia="Arial" w:hAnsi="Arial"/>
          <w:sz w:val="22"/>
          <w:szCs w:val="22"/>
        </w:rPr>
        <w:t xml:space="preserve">This sheet lists every known problem with the report. Each entry has a severity, an action type (FIX, REVIEW, DROP, MONITOR), and a specific recommendation. Use this as your backlog when preparing the unified DB.</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rPr>
          <w:tblHeader/>
        </w:trPr>
        <w:tc>
          <w:tcPr>
            <w:tcW w:type="dxa" w:w="9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54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to do about it</w:t>
            </w:r>
          </w:p>
        </w:tc>
      </w:tr>
      <w:tr>
        <w:tc>
          <w:tcPr>
            <w:tcW w:type="dxa" w:w="9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b/>
                <w:bCs/>
                <w:color w:val="C00000"/>
                <w:sz w:val="20"/>
                <w:szCs w:val="20"/>
              </w:rPr>
              <w:t xml:space="preserve">HIGH</w:t>
            </w:r>
          </w:p>
        </w:tc>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20"/>
                <w:szCs w:val="20"/>
              </w:rPr>
              <w:t xml:space="preserve">Segmentation join fans out rows</w:t>
            </w:r>
          </w:p>
        </w:tc>
        <w:tc>
          <w:tcPr>
            <w:tcW w:type="dxa" w:w="54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20"/>
                <w:szCs w:val="20"/>
              </w:rPr>
              <w:t xml:space="preserve">Add AND segs.Year_Month = MarketValue.YearMonth to the join. Without this, AUA totals are wrong whenever a client has multiple segment records.</w:t>
            </w:r>
          </w:p>
        </w:tc>
      </w:tr>
      <w:tr>
        <w:tc>
          <w:tcPr>
            <w:tcW w:type="dxa" w:w="9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b/>
                <w:bCs/>
                <w:color w:val="C55A00"/>
                <w:sz w:val="20"/>
                <w:szCs w:val="20"/>
              </w:rPr>
              <w:t xml:space="preserve">MED</w:t>
            </w:r>
          </w:p>
        </w:tc>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20"/>
                <w:szCs w:val="20"/>
              </w:rPr>
              <w:t xml:space="preserve">FeeGroupMember is non-deterministic</w:t>
            </w:r>
          </w:p>
        </w:tc>
        <w:tc>
          <w:tcPr>
            <w:tcW w:type="dxa" w:w="54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20"/>
                <w:szCs w:val="20"/>
              </w:rPr>
              <w:t xml:space="preserve">Add ORDER BY ff.CreatedDate DESC inside the OUTER APPLY so the most recent fee group is always returned.</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LOW</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Channel column is always blank</w:t>
            </w:r>
          </w:p>
        </w:tc>
        <w:tc>
          <w:tcPr>
            <w:tcW w:type="dxa" w:w="5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Decide: either connect a new channel source or remove the column from the output schema.</w:t>
            </w:r>
          </w:p>
        </w:tc>
      </w:tr>
      <w:tr>
        <w:tc>
          <w:tcPr>
            <w:tcW w:type="dxa" w:w="9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b/>
                <w:bCs/>
                <w:color w:val="375623"/>
                <w:sz w:val="20"/>
                <w:szCs w:val="20"/>
              </w:rPr>
              <w:t xml:space="preserve">LOW</w:t>
            </w:r>
          </w:p>
        </w:tc>
        <w:tc>
          <w:tcPr>
            <w:tcW w:type="dxa" w:w="3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Region has unknown coverage gaps</w:t>
            </w:r>
          </w:p>
        </w:tc>
        <w:tc>
          <w:tcPr>
            <w:tcW w:type="dxa" w:w="54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0" w:before="0"/>
            </w:pPr>
            <w:r>
              <w:rPr>
                <w:rFonts w:ascii="Arial" w:cs="Arial" w:eastAsia="Arial" w:hAnsi="Arial"/>
                <w:sz w:val="20"/>
                <w:szCs w:val="20"/>
              </w:rPr>
              <w:t xml:space="preserve">Run a count of advisers with no SalesPerson match to understand how many are landing as x-unallocated.</w:t>
            </w:r>
          </w:p>
        </w:tc>
      </w:tr>
    </w:tbl>
    <w:p>
      <w:pPr>
        <w:spacing w:after="0" w:before="200"/>
      </w:pPr>
    </w:p>
    <w:p>
      <w:pPr>
        <w:pStyle w:val="Heading1"/>
        <w:spacing w:after="120" w:before="360"/>
      </w:pPr>
      <w:r>
        <w:rPr>
          <w:rFonts w:ascii="Arial" w:cs="Arial" w:eastAsia="Arial" w:hAnsi="Arial"/>
          <w:b/>
          <w:bCs/>
          <w:color w:val="1F497D"/>
          <w:sz w:val="32"/>
          <w:szCs w:val="32"/>
        </w:rPr>
        <w:t xml:space="preserve">4.  Stored Procedure Flowchart — Step by Step</w:t>
      </w:r>
    </w:p>
    <w:p>
      <w:pPr>
        <w:spacing w:after="100" w:before="60"/>
      </w:pPr>
      <w:r>
        <w:rPr>
          <w:rFonts w:ascii="Arial" w:cs="Arial" w:eastAsia="Arial" w:hAnsi="Arial"/>
          <w:sz w:val="22"/>
          <w:szCs w:val="22"/>
        </w:rPr>
        <w:t xml:space="preserve">The stored procedure is the engine that builds this report. Below is a plain-language description of its flow — structured so that a flowchart can be drawn from it. Points of interest (joins, filters, business logic decisions) are called out explicitly.</w:t>
      </w:r>
    </w:p>
    <w:p>
      <w:pPr>
        <w:spacing w:after="0" w:before="120"/>
      </w:pPr>
    </w:p>
    <w:p>
      <w:pPr>
        <w:pStyle w:val="Heading2"/>
        <w:spacing w:after="80" w:before="240"/>
      </w:pPr>
      <w:r>
        <w:rPr>
          <w:rFonts w:ascii="Arial" w:cs="Arial" w:eastAsia="Arial" w:hAnsi="Arial"/>
          <w:b/>
          <w:bCs/>
          <w:color w:val="2E74B5"/>
          <w:sz w:val="26"/>
          <w:szCs w:val="26"/>
        </w:rPr>
        <w:t xml:space="preserve">Step 1 — Wipe the output table</w:t>
      </w:r>
    </w:p>
    <w:p>
      <w:pPr>
        <w:spacing w:after="100" w:before="60"/>
      </w:pPr>
      <w:r>
        <w:rPr>
          <w:rFonts w:ascii="Courier New" w:cs="Courier New" w:eastAsia="Courier New" w:hAnsi="Courier New"/>
          <w:color w:val="C7254E"/>
          <w:sz w:val="18"/>
          <w:szCs w:val="18"/>
          <w:shd w:fill="F9F2F4" w:val="clear"/>
        </w:rPr>
        <w:t xml:space="preserve">TRUNCATE TABLE vAssetsUnderAdvice_Fund_LevelWithFPMM_Fix</w:t>
      </w:r>
    </w:p>
    <w:p>
      <w:pPr>
        <w:spacing w:after="100" w:before="60"/>
      </w:pPr>
      <w:r>
        <w:rPr>
          <w:rFonts w:ascii="Arial" w:cs="Arial" w:eastAsia="Arial" w:hAnsi="Arial"/>
          <w:sz w:val="22"/>
          <w:szCs w:val="22"/>
        </w:rPr>
        <w:t xml:space="preserve">The very first thing the procedure does is delete every row in the target table. There is no merge or incremental update — this is a full rebuild every single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NOTE  </w:t>
            </w:r>
            <w:r>
              <w:rPr>
                <w:rFonts w:ascii="Arial" w:cs="Arial" w:eastAsia="Arial" w:hAnsi="Arial"/>
                <w:color w:val="404040"/>
                <w:sz w:val="20"/>
                <w:szCs w:val="20"/>
              </w:rPr>
              <w:t xml:space="preserve">Point of interest: if the procedure fails mid-run after the truncate, the table is empty. There is no rollback protection here. Worth noting for the unified DB design.</w:t>
            </w:r>
          </w:p>
        </w:tc>
      </w:tr>
    </w:tbl>
    <w:p>
      <w:pPr>
        <w:spacing w:after="0" w:before="200"/>
      </w:pPr>
    </w:p>
    <w:p>
      <w:pPr>
        <w:pStyle w:val="Heading2"/>
        <w:spacing w:after="80" w:before="240"/>
      </w:pPr>
      <w:r>
        <w:rPr>
          <w:rFonts w:ascii="Arial" w:cs="Arial" w:eastAsia="Arial" w:hAnsi="Arial"/>
          <w:b/>
          <w:bCs/>
          <w:color w:val="2E74B5"/>
          <w:sz w:val="26"/>
          <w:szCs w:val="26"/>
        </w:rPr>
        <w:t xml:space="preserve">Step 2 — Anchor on Portfolio Details</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tempPortfolioDetails</w:t>
      </w:r>
      <w:r>
        <w:rPr>
          <w:rFonts w:ascii="Arial" w:cs="Arial" w:eastAsia="Arial" w:hAnsi="Arial"/>
          <w:sz w:val="22"/>
          <w:szCs w:val="22"/>
        </w:rPr>
        <w:t xml:space="preserve">  |  Role: Starting point (anchor)</w:t>
      </w:r>
    </w:p>
    <w:p>
      <w:pPr>
        <w:spacing w:after="100" w:before="60"/>
      </w:pPr>
      <w:r>
        <w:rPr>
          <w:rFonts w:ascii="Arial" w:cs="Arial" w:eastAsia="Arial" w:hAnsi="Arial"/>
          <w:sz w:val="22"/>
          <w:szCs w:val="22"/>
        </w:rPr>
        <w:t xml:space="preserve">Every row in the final output starts as a row in tempPortfolioDetails. This table represents individual portfolio contracts. Nothing is filtered here yet — all contracts enter the pipeline.</w:t>
      </w:r>
    </w:p>
    <w:p>
      <w:pPr>
        <w:spacing w:after="0" w:before="120"/>
      </w:pPr>
    </w:p>
    <w:p>
      <w:pPr>
        <w:pStyle w:val="Heading2"/>
        <w:spacing w:after="80" w:before="240"/>
      </w:pPr>
      <w:r>
        <w:rPr>
          <w:rFonts w:ascii="Arial" w:cs="Arial" w:eastAsia="Arial" w:hAnsi="Arial"/>
          <w:b/>
          <w:bCs/>
          <w:color w:val="2E74B5"/>
          <w:sz w:val="26"/>
          <w:szCs w:val="26"/>
        </w:rPr>
        <w:t xml:space="preserve">Step 3 — Attach the Product wrapper  (LEFT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tempInstrumentDetails</w:t>
      </w:r>
      <w:r>
        <w:rPr>
          <w:rFonts w:ascii="Arial" w:cs="Arial" w:eastAsia="Arial" w:hAnsi="Arial"/>
          <w:sz w:val="22"/>
          <w:szCs w:val="22"/>
        </w:rPr>
        <w:t xml:space="preserve"> aliased as </w:t>
      </w:r>
      <w:r>
        <w:rPr>
          <w:rFonts w:ascii="Courier New" w:cs="Courier New" w:eastAsia="Courier New" w:hAnsi="Courier New"/>
          <w:color w:val="C7254E"/>
          <w:sz w:val="18"/>
          <w:szCs w:val="18"/>
          <w:shd w:fill="F9F2F4" w:val="clear"/>
        </w:rPr>
        <w:t xml:space="preserve">Product</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RootInstrumentID = InstrumentID</w:t>
      </w:r>
    </w:p>
    <w:p>
      <w:pPr>
        <w:spacing w:after="100" w:before="60"/>
      </w:pPr>
      <w:r>
        <w:rPr>
          <w:rFonts w:ascii="Arial" w:cs="Arial" w:eastAsia="Arial" w:hAnsi="Arial"/>
          <w:sz w:val="22"/>
          <w:szCs w:val="22"/>
        </w:rPr>
        <w:t xml:space="preserve">Each portfolio has a root instrument — the product wrapper (e.g. Retirement Annuity, TFSA). This join attaches the product name, type, supplier, and category. It is a LEFT JOIN, meaning portfolios without a matched product still appear — they just have NULLs in product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KEY PATTERN  </w:t>
            </w:r>
            <w:r>
              <w:rPr>
                <w:rFonts w:ascii="Arial" w:cs="Arial" w:eastAsia="Arial" w:hAnsi="Arial"/>
                <w:color w:val="404040"/>
                <w:sz w:val="20"/>
                <w:szCs w:val="20"/>
              </w:rPr>
              <w:t xml:space="preserve">The same table (tempInstrumentDetails) is used twice in this query — once for the product wrapper, once for the underlying fund. SQL aliases them as 'Product' and 'Fund' to distinguish them. This is a key point when mapping to a unified DB — one physical table serves two logical roles.</w:t>
            </w:r>
          </w:p>
        </w:tc>
      </w:tr>
    </w:tbl>
    <w:p>
      <w:pPr>
        <w:spacing w:after="0" w:before="200"/>
      </w:pPr>
    </w:p>
    <w:p>
      <w:pPr>
        <w:pStyle w:val="Heading2"/>
        <w:spacing w:after="80" w:before="240"/>
      </w:pPr>
      <w:r>
        <w:rPr>
          <w:rFonts w:ascii="Arial" w:cs="Arial" w:eastAsia="Arial" w:hAnsi="Arial"/>
          <w:b/>
          <w:bCs/>
          <w:color w:val="2E74B5"/>
          <w:sz w:val="26"/>
          <w:szCs w:val="26"/>
        </w:rPr>
        <w:t xml:space="preserve">Step 4 — INNER JOIN to Market Values  ← most important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tempPortfolioValues</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PortfolioEntryID</w:t>
      </w:r>
    </w:p>
    <w:p>
      <w:pPr>
        <w:spacing w:after="100" w:before="60"/>
      </w:pPr>
      <w:r>
        <w:rPr>
          <w:rFonts w:ascii="Arial" w:cs="Arial" w:eastAsia="Arial" w:hAnsi="Arial"/>
          <w:sz w:val="22"/>
          <w:szCs w:val="22"/>
        </w:rPr>
        <w:t xml:space="preserve">This is the most critical join in the entire procedure. It is an INNER JOIN, which means if a portfolio has no matching market value record, it disappears from the output entirely.</w:t>
      </w:r>
    </w:p>
    <w:p>
      <w:pPr>
        <w:spacing w:after="100" w:before="60"/>
      </w:pPr>
      <w:r>
        <w:rPr>
          <w:rFonts w:ascii="Arial" w:cs="Arial" w:eastAsia="Arial" w:hAnsi="Arial"/>
          <w:b/>
          <w:bCs/>
          <w:sz w:val="22"/>
          <w:szCs w:val="22"/>
        </w:rPr>
        <w:t xml:space="preserve">Filters applied at this join:</w:t>
      </w:r>
    </w:p>
    <w:p>
      <w:pPr>
        <w:pStyle w:val="ListParagraph"/>
        <w:numPr>
          <w:ilvl w:val="0"/>
          <w:numId w:val="2"/>
        </w:numPr>
        <w:spacing w:after="40" w:before="40"/>
      </w:pPr>
      <w:r>
        <w:rPr>
          <w:rFonts w:ascii="Courier New" w:cs="Courier New" w:eastAsia="Courier New" w:hAnsi="Courier New"/>
          <w:color w:val="C7254E"/>
          <w:sz w:val="18"/>
          <w:szCs w:val="18"/>
          <w:shd w:fill="F9F2F4" w:val="clear"/>
        </w:rPr>
        <w:t xml:space="preserve">InforceStatusL = 5</w:t>
      </w:r>
      <w:r>
        <w:rPr>
          <w:rFonts w:ascii="Arial" w:cs="Arial" w:eastAsia="Arial" w:hAnsi="Arial"/>
          <w:sz w:val="22"/>
          <w:szCs w:val="22"/>
        </w:rPr>
        <w:t xml:space="preserve"> — only in-force (active) contracts</w:t>
      </w:r>
    </w:p>
    <w:p>
      <w:pPr>
        <w:pStyle w:val="ListParagraph"/>
        <w:numPr>
          <w:ilvl w:val="0"/>
          <w:numId w:val="2"/>
        </w:numPr>
        <w:spacing w:after="40" w:before="40"/>
      </w:pPr>
      <w:r>
        <w:rPr>
          <w:rFonts w:ascii="Courier New" w:cs="Courier New" w:eastAsia="Courier New" w:hAnsi="Courier New"/>
          <w:color w:val="C7254E"/>
          <w:sz w:val="18"/>
          <w:szCs w:val="18"/>
          <w:shd w:fill="F9F2F4" w:val="clear"/>
        </w:rPr>
        <w:t xml:space="preserve">ManagedStatusL = 5</w:t>
      </w:r>
      <w:r>
        <w:rPr>
          <w:rFonts w:ascii="Arial" w:cs="Arial" w:eastAsia="Arial" w:hAnsi="Arial"/>
          <w:sz w:val="22"/>
          <w:szCs w:val="22"/>
        </w:rPr>
        <w:t xml:space="preserve"> — only managed portfolios</w:t>
      </w:r>
    </w:p>
    <w:p>
      <w:pPr>
        <w:pStyle w:val="ListParagraph"/>
        <w:numPr>
          <w:ilvl w:val="0"/>
          <w:numId w:val="2"/>
        </w:numPr>
        <w:spacing w:after="40" w:before="40"/>
      </w:pPr>
      <w:r>
        <w:rPr>
          <w:rFonts w:ascii="Courier New" w:cs="Courier New" w:eastAsia="Courier New" w:hAnsi="Courier New"/>
          <w:color w:val="C7254E"/>
          <w:sz w:val="18"/>
          <w:szCs w:val="18"/>
          <w:shd w:fill="F9F2F4" w:val="clear"/>
        </w:rPr>
        <w:t xml:space="preserve">InstrumentValueTypeL = 5</w:t>
      </w:r>
      <w:r>
        <w:rPr>
          <w:rFonts w:ascii="Arial" w:cs="Arial" w:eastAsia="Arial" w:hAnsi="Arial"/>
          <w:sz w:val="22"/>
          <w:szCs w:val="22"/>
        </w:rPr>
        <w:t xml:space="preserve"> — only market value records (not cost price etc.)</w:t>
      </w:r>
    </w:p>
    <w:p>
      <w:pPr>
        <w:pStyle w:val="ListParagraph"/>
        <w:numPr>
          <w:ilvl w:val="0"/>
          <w:numId w:val="2"/>
        </w:numPr>
        <w:spacing w:after="40" w:before="40"/>
      </w:pPr>
      <w:r>
        <w:rPr>
          <w:rFonts w:ascii="Arial" w:cs="Arial" w:eastAsia="Arial" w:hAnsi="Arial"/>
          <w:sz w:val="22"/>
          <w:szCs w:val="22"/>
        </w:rPr>
        <w:t xml:space="preserve">Investment products must have a non-zero, non-null amount</w:t>
      </w:r>
    </w:p>
    <w:p>
      <w:pPr>
        <w:pStyle w:val="ListParagraph"/>
        <w:numPr>
          <w:ilvl w:val="0"/>
          <w:numId w:val="2"/>
        </w:numPr>
        <w:spacing w:after="40" w:before="40"/>
      </w:pPr>
      <w:r>
        <w:rPr>
          <w:rFonts w:ascii="Arial" w:cs="Arial" w:eastAsia="Arial" w:hAnsi="Arial"/>
          <w:sz w:val="22"/>
          <w:szCs w:val="22"/>
        </w:rPr>
        <w:t xml:space="preserve">Non-investment types (Risk, Medical Aid etc.) are always included regardless of amount</w:t>
      </w:r>
    </w:p>
    <w:p>
      <w:pPr>
        <w:spacing w:after="100" w:before="60"/>
      </w:pPr>
      <w:r>
        <w:rPr>
          <w:rFonts w:ascii="Arial" w:cs="Arial" w:eastAsia="Arial" w:hAnsi="Arial"/>
          <w:b/>
          <w:bCs/>
          <w:sz w:val="22"/>
          <w:szCs w:val="22"/>
        </w:rPr>
        <w:t xml:space="preserve">Also applied: the 5-year lookback window</w:t>
      </w:r>
    </w:p>
    <w:p>
      <w:pPr>
        <w:spacing w:after="100" w:before="60"/>
      </w:pPr>
      <w:r>
        <w:rPr>
          <w:rFonts w:ascii="Courier New" w:cs="Courier New" w:eastAsia="Courier New" w:hAnsi="Courier New"/>
          <w:color w:val="C7254E"/>
          <w:sz w:val="18"/>
          <w:szCs w:val="18"/>
          <w:shd w:fill="F9F2F4" w:val="clear"/>
        </w:rPr>
        <w:t xml:space="preserve">WHERE MarketValue.YearMonth &gt;= CAST(LEFT(CONVERT(VARCHAR, DATEADD(YY,-5,GETDATE()),112),6) AS INT)</w:t>
      </w:r>
    </w:p>
    <w:p>
      <w:pPr>
        <w:spacing w:after="100" w:before="60"/>
      </w:pPr>
      <w:r>
        <w:rPr>
          <w:rFonts w:ascii="Arial" w:cs="Arial" w:eastAsia="Arial" w:hAnsi="Arial"/>
          <w:sz w:val="22"/>
          <w:szCs w:val="22"/>
        </w:rPr>
        <w:t xml:space="preserve">This dynamically calculates the cutoff — no hardcoded dates. The window rolls forward automatically each month.</w:t>
      </w:r>
    </w:p>
    <w:p>
      <w:pPr>
        <w:spacing w:after="0" w:before="120"/>
      </w:pPr>
    </w:p>
    <w:p>
      <w:pPr>
        <w:pStyle w:val="Heading2"/>
        <w:spacing w:after="80" w:before="240"/>
      </w:pPr>
      <w:r>
        <w:rPr>
          <w:rFonts w:ascii="Arial" w:cs="Arial" w:eastAsia="Arial" w:hAnsi="Arial"/>
          <w:b/>
          <w:bCs/>
          <w:color w:val="2E74B5"/>
          <w:sz w:val="26"/>
          <w:szCs w:val="26"/>
        </w:rPr>
        <w:t xml:space="preserve">Step 5 — Attach Commission / Pricing  (LEFT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tempCommissionPerMonth</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PortfolioEntryID + YearMonth</w:t>
      </w:r>
    </w:p>
    <w:p>
      <w:pPr>
        <w:spacing w:after="100" w:before="60"/>
      </w:pPr>
      <w:r>
        <w:rPr>
          <w:rFonts w:ascii="Arial" w:cs="Arial" w:eastAsia="Arial" w:hAnsi="Arial"/>
          <w:sz w:val="22"/>
          <w:szCs w:val="22"/>
        </w:rPr>
        <w:t xml:space="preserve">Brings in the commission percentage applicable to this fund in this month. LEFT JOIN — if no pricing record exists, the Pricing field is NULL. Does not affect which rows appear.</w:t>
      </w:r>
    </w:p>
    <w:p>
      <w:pPr>
        <w:spacing w:after="0" w:before="200"/>
      </w:pPr>
    </w:p>
    <w:p>
      <w:pPr>
        <w:pStyle w:val="Heading2"/>
        <w:spacing w:after="80" w:before="240"/>
      </w:pPr>
      <w:r>
        <w:rPr>
          <w:rFonts w:ascii="Arial" w:cs="Arial" w:eastAsia="Arial" w:hAnsi="Arial"/>
          <w:b/>
          <w:bCs/>
          <w:color w:val="2E74B5"/>
          <w:sz w:val="26"/>
          <w:szCs w:val="26"/>
        </w:rPr>
        <w:t xml:space="preserve">Step 6 — Apply Adviser Split  (LEFT JOIN) ← business logic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tempPortfolioAssetSplit_Test</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RootPortfolioEntryID + YearMonth</w:t>
      </w:r>
    </w:p>
    <w:p>
      <w:pPr>
        <w:spacing w:after="100" w:before="60"/>
      </w:pPr>
      <w:r>
        <w:rPr>
          <w:rFonts w:ascii="Arial" w:cs="Arial" w:eastAsia="Arial" w:hAnsi="Arial"/>
          <w:sz w:val="22"/>
          <w:szCs w:val="22"/>
        </w:rPr>
        <w:t xml:space="preserve">This is where one portfolio row can become multiple rows — one per adviser sharing that portfolio. The split percentage is carried through and applied to the market value in the SELECT.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OPEN QUESTION  </w:t>
            </w:r>
            <w:r>
              <w:rPr>
                <w:rFonts w:ascii="Arial" w:cs="Arial" w:eastAsia="Arial" w:hAnsi="Arial"/>
                <w:color w:val="404040"/>
                <w:sz w:val="20"/>
                <w:szCs w:val="20"/>
              </w:rPr>
              <w:t xml:space="preserve">The table is named with a '_Test' suffix. It is unclear whether this is the permanent production table or a working copy. This needs to be confirmed before the unified DB design is finalised.</w:t>
            </w:r>
          </w:p>
        </w:tc>
      </w:tr>
    </w:tbl>
    <w:p>
      <w:pPr>
        <w:spacing w:after="0" w:before="120"/>
      </w:pPr>
    </w:p>
    <w:p>
      <w:pPr>
        <w:pStyle w:val="Heading2"/>
        <w:spacing w:after="80" w:before="240"/>
      </w:pPr>
      <w:r>
        <w:rPr>
          <w:rFonts w:ascii="Arial" w:cs="Arial" w:eastAsia="Arial" w:hAnsi="Arial"/>
          <w:b/>
          <w:bCs/>
          <w:color w:val="2E74B5"/>
          <w:sz w:val="26"/>
          <w:szCs w:val="26"/>
        </w:rPr>
        <w:t xml:space="preserve">Step 7 — Attach Adviser Details  (LEFT JOIN)</w:t>
      </w:r>
    </w:p>
    <w:p>
      <w:pPr>
        <w:spacing w:after="100" w:before="60"/>
      </w:pPr>
      <w:r>
        <w:rPr>
          <w:rFonts w:ascii="Arial" w:cs="Arial" w:eastAsia="Arial" w:hAnsi="Arial"/>
          <w:b/>
          <w:bCs/>
          <w:sz w:val="22"/>
          <w:szCs w:val="22"/>
        </w:rPr>
        <w:t xml:space="preserve">Tables: </w:t>
      </w:r>
      <w:r>
        <w:rPr>
          <w:rFonts w:ascii="Courier New" w:cs="Courier New" w:eastAsia="Courier New" w:hAnsi="Courier New"/>
          <w:color w:val="C7254E"/>
          <w:sz w:val="18"/>
          <w:szCs w:val="18"/>
          <w:shd w:fill="F9F2F4" w:val="clear"/>
        </w:rPr>
        <w:t xml:space="preserve">tempStaffDetails</w:t>
      </w:r>
      <w:r>
        <w:rPr>
          <w:rFonts w:ascii="Arial" w:cs="Arial" w:eastAsia="Arial" w:hAnsi="Arial"/>
          <w:sz w:val="22"/>
          <w:szCs w:val="22"/>
        </w:rPr>
        <w:t xml:space="preserve"> + </w:t>
      </w:r>
      <w:r>
        <w:rPr>
          <w:rFonts w:ascii="Courier New" w:cs="Courier New" w:eastAsia="Courier New" w:hAnsi="Courier New"/>
          <w:color w:val="C7254E"/>
          <w:sz w:val="18"/>
          <w:szCs w:val="18"/>
          <w:shd w:fill="F9F2F4" w:val="clear"/>
        </w:rPr>
        <w:t xml:space="preserve">tempClientStaffRelationNew</w:t>
      </w:r>
      <w:r>
        <w:rPr>
          <w:rFonts w:ascii="Arial" w:cs="Arial" w:eastAsia="Arial" w:hAnsi="Arial"/>
          <w:sz w:val="22"/>
          <w:szCs w:val="22"/>
        </w:rPr>
        <w:t xml:space="preserve"> + </w:t>
      </w:r>
      <w:r>
        <w:rPr>
          <w:rFonts w:ascii="Courier New" w:cs="Courier New" w:eastAsia="Courier New" w:hAnsi="Courier New"/>
          <w:color w:val="C7254E"/>
          <w:sz w:val="18"/>
          <w:szCs w:val="18"/>
          <w:shd w:fill="F9F2F4" w:val="clear"/>
        </w:rPr>
        <w:t xml:space="preserve">SalesPerson</w:t>
      </w:r>
    </w:p>
    <w:p>
      <w:pPr>
        <w:spacing w:after="100" w:before="60"/>
      </w:pPr>
      <w:r>
        <w:rPr>
          <w:rFonts w:ascii="Arial" w:cs="Arial" w:eastAsia="Arial" w:hAnsi="Arial"/>
          <w:sz w:val="22"/>
          <w:szCs w:val="22"/>
        </w:rPr>
        <w:t xml:space="preserve">Three joins to get the full adviser picture:</w:t>
      </w:r>
    </w:p>
    <w:p>
      <w:pPr>
        <w:pStyle w:val="ListParagraph"/>
        <w:numPr>
          <w:ilvl w:val="0"/>
          <w:numId w:val="2"/>
        </w:numPr>
        <w:spacing w:after="40" w:before="40"/>
      </w:pPr>
      <w:r>
        <w:rPr>
          <w:rFonts w:ascii="Arial" w:cs="Arial" w:eastAsia="Arial" w:hAnsi="Arial"/>
          <w:b/>
          <w:bCs/>
          <w:sz w:val="22"/>
          <w:szCs w:val="22"/>
        </w:rPr>
        <w:t xml:space="preserve">tempStaffDetails</w:t>
      </w:r>
      <w:r>
        <w:rPr>
          <w:rFonts w:ascii="Arial" w:cs="Arial" w:eastAsia="Arial" w:hAnsi="Arial"/>
          <w:sz w:val="22"/>
          <w:szCs w:val="22"/>
        </w:rPr>
        <w:t xml:space="preserve"> — adviser name, F-number, brand, office. Joined on BrokerEntityID = EntityID.</w:t>
      </w:r>
    </w:p>
    <w:p>
      <w:pPr>
        <w:pStyle w:val="ListParagraph"/>
        <w:numPr>
          <w:ilvl w:val="0"/>
          <w:numId w:val="2"/>
        </w:numPr>
        <w:spacing w:after="40" w:before="40"/>
      </w:pPr>
      <w:r>
        <w:rPr>
          <w:rFonts w:ascii="Arial" w:cs="Arial" w:eastAsia="Arial" w:hAnsi="Arial"/>
          <w:b/>
          <w:bCs/>
          <w:sz w:val="22"/>
          <w:szCs w:val="22"/>
        </w:rPr>
        <w:t xml:space="preserve">tempClientStaffRelationNew</w:t>
      </w:r>
      <w:r>
        <w:rPr>
          <w:rFonts w:ascii="Arial" w:cs="Arial" w:eastAsia="Arial" w:hAnsi="Arial"/>
          <w:sz w:val="22"/>
          <w:szCs w:val="22"/>
        </w:rPr>
        <w:t xml:space="preserve"> — adviser role. Filtered to IsBrokerRole = 1. Grouped to avoid duplicate rows. A CASE statement overrides role to 'Financial Adviser' for conservation portfolios.</w:t>
      </w:r>
    </w:p>
    <w:p>
      <w:pPr>
        <w:pStyle w:val="ListParagraph"/>
        <w:numPr>
          <w:ilvl w:val="0"/>
          <w:numId w:val="2"/>
        </w:numPr>
        <w:spacing w:after="40" w:before="40"/>
      </w:pPr>
      <w:r>
        <w:rPr>
          <w:rFonts w:ascii="Arial" w:cs="Arial" w:eastAsia="Arial" w:hAnsi="Arial"/>
          <w:b/>
          <w:bCs/>
          <w:sz w:val="22"/>
          <w:szCs w:val="22"/>
        </w:rPr>
        <w:t xml:space="preserve">SalesPerson</w:t>
      </w:r>
      <w:r>
        <w:rPr>
          <w:rFonts w:ascii="Arial" w:cs="Arial" w:eastAsia="Arial" w:hAnsi="Arial"/>
          <w:sz w:val="22"/>
          <w:szCs w:val="22"/>
        </w:rPr>
        <w:t xml:space="preserve"> — report region. Note: BrokerEntityID must be cast to varchar(36) for this join. Advisers not in this table get x-unallocated as their region.</w:t>
      </w:r>
    </w:p>
    <w:p>
      <w:pPr>
        <w:spacing w:after="0" w:before="200"/>
      </w:pPr>
    </w:p>
    <w:p>
      <w:pPr>
        <w:pStyle w:val="Heading2"/>
        <w:spacing w:after="80" w:before="240"/>
      </w:pPr>
      <w:r>
        <w:rPr>
          <w:rFonts w:ascii="Arial" w:cs="Arial" w:eastAsia="Arial" w:hAnsi="Arial"/>
          <w:b/>
          <w:bCs/>
          <w:color w:val="2E74B5"/>
          <w:sz w:val="26"/>
          <w:szCs w:val="26"/>
        </w:rPr>
        <w:t xml:space="preserve">Step 8 — INNER JOIN to Client Details ← second mandatory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tempEntityDetails</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PortfolioDetails.EntityID = ClientDetails.EntityID</w:t>
      </w:r>
    </w:p>
    <w:p>
      <w:pPr>
        <w:spacing w:after="100" w:before="60"/>
      </w:pPr>
      <w:r>
        <w:rPr>
          <w:rFonts w:ascii="Arial" w:cs="Arial" w:eastAsia="Arial" w:hAnsi="Arial"/>
          <w:sz w:val="22"/>
          <w:szCs w:val="22"/>
        </w:rPr>
        <w:t xml:space="preserve">This is the second INNER JOIN. Portfolios with no matching client record are excluded.</w:t>
      </w:r>
    </w:p>
    <w:p>
      <w:pPr>
        <w:spacing w:after="100" w:before="60"/>
      </w:pPr>
      <w:r>
        <w:rPr>
          <w:rFonts w:ascii="Arial" w:cs="Arial" w:eastAsia="Arial" w:hAnsi="Arial"/>
          <w:b/>
          <w:bCs/>
          <w:sz w:val="22"/>
          <w:szCs w:val="22"/>
        </w:rPr>
        <w:t xml:space="preserve">Filters applied here:</w:t>
      </w:r>
    </w:p>
    <w:p>
      <w:pPr>
        <w:pStyle w:val="ListParagraph"/>
        <w:numPr>
          <w:ilvl w:val="0"/>
          <w:numId w:val="2"/>
        </w:numPr>
        <w:spacing w:after="40" w:before="40"/>
      </w:pPr>
      <w:r>
        <w:rPr>
          <w:rFonts w:ascii="Courier New" w:cs="Courier New" w:eastAsia="Courier New" w:hAnsi="Courier New"/>
          <w:color w:val="C7254E"/>
          <w:sz w:val="18"/>
          <w:szCs w:val="18"/>
          <w:shd w:fill="F9F2F4" w:val="clear"/>
        </w:rPr>
        <w:t xml:space="preserve">CompanyL &lt;&gt; 7</w:t>
      </w:r>
      <w:r>
        <w:rPr>
          <w:rFonts w:ascii="Arial" w:cs="Arial" w:eastAsia="Arial" w:hAnsi="Arial"/>
          <w:sz w:val="22"/>
          <w:szCs w:val="22"/>
        </w:rPr>
        <w:t xml:space="preserve"> — excludes FNB Trust Services clients entirely</w:t>
      </w:r>
    </w:p>
    <w:p>
      <w:pPr>
        <w:spacing w:after="100" w:before="60"/>
      </w:pPr>
      <w:r>
        <w:rPr>
          <w:rFonts w:ascii="Arial" w:cs="Arial" w:eastAsia="Arial" w:hAnsi="Arial"/>
          <w:sz w:val="22"/>
          <w:szCs w:val="22"/>
        </w:rPr>
        <w:t xml:space="preserve">The client subquery also pre-calculates a CreatedYearMonth field for potential use downstream.</w:t>
      </w:r>
    </w:p>
    <w:p>
      <w:pPr>
        <w:spacing w:after="100" w:before="60"/>
      </w:pPr>
      <w:r>
        <w:rPr>
          <w:rFonts w:ascii="Arial" w:cs="Arial" w:eastAsia="Arial" w:hAnsi="Arial"/>
          <w:b/>
          <w:bCs/>
          <w:sz w:val="22"/>
          <w:szCs w:val="22"/>
        </w:rPr>
        <w:t xml:space="preserve">ID number logic resolved here via CASE:</w:t>
      </w:r>
    </w:p>
    <w:p>
      <w:pPr>
        <w:pStyle w:val="ListParagraph"/>
        <w:numPr>
          <w:ilvl w:val="0"/>
          <w:numId w:val="2"/>
        </w:numPr>
        <w:spacing w:after="40" w:before="40"/>
      </w:pPr>
      <w:r>
        <w:rPr>
          <w:rFonts w:ascii="Arial" w:cs="Arial" w:eastAsia="Arial" w:hAnsi="Arial"/>
          <w:sz w:val="22"/>
          <w:szCs w:val="22"/>
        </w:rPr>
        <w:t xml:space="preserve">Entity type 6 (individual) → SA ID number if available</w:t>
      </w:r>
    </w:p>
    <w:p>
      <w:pPr>
        <w:pStyle w:val="ListParagraph"/>
        <w:numPr>
          <w:ilvl w:val="0"/>
          <w:numId w:val="2"/>
        </w:numPr>
        <w:spacing w:after="40" w:before="40"/>
      </w:pPr>
      <w:r>
        <w:rPr>
          <w:rFonts w:ascii="Arial" w:cs="Arial" w:eastAsia="Arial" w:hAnsi="Arial"/>
          <w:sz w:val="22"/>
          <w:szCs w:val="22"/>
        </w:rPr>
        <w:t xml:space="preserve">Non-individual → Company registration number</w:t>
      </w:r>
    </w:p>
    <w:p>
      <w:pPr>
        <w:pStyle w:val="ListParagraph"/>
        <w:numPr>
          <w:ilvl w:val="0"/>
          <w:numId w:val="2"/>
        </w:numPr>
        <w:spacing w:after="40" w:before="40"/>
      </w:pPr>
      <w:r>
        <w:rPr>
          <w:rFonts w:ascii="Arial" w:cs="Arial" w:eastAsia="Arial" w:hAnsi="Arial"/>
          <w:sz w:val="22"/>
          <w:szCs w:val="22"/>
        </w:rPr>
        <w:t xml:space="preserve">Fallback → Passport number</w:t>
      </w:r>
    </w:p>
    <w:p>
      <w:pPr>
        <w:spacing w:after="0" w:before="120"/>
      </w:pPr>
    </w:p>
    <w:p>
      <w:pPr>
        <w:pStyle w:val="Heading2"/>
        <w:spacing w:after="80" w:before="240"/>
      </w:pPr>
      <w:r>
        <w:rPr>
          <w:rFonts w:ascii="Arial" w:cs="Arial" w:eastAsia="Arial" w:hAnsi="Arial"/>
          <w:b/>
          <w:bCs/>
          <w:color w:val="2E74B5"/>
          <w:sz w:val="26"/>
          <w:szCs w:val="26"/>
        </w:rPr>
        <w:t xml:space="preserve">Step 9 — Attach Segmentation  (LEFT JOIN) ← known risk</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Customer_Monthly_Segmentation</w:t>
      </w:r>
      <w:r>
        <w:rPr>
          <w:rFonts w:ascii="Arial" w:cs="Arial" w:eastAsia="Arial" w:hAnsi="Arial"/>
          <w:sz w:val="22"/>
          <w:szCs w:val="22"/>
        </w:rPr>
        <w:t xml:space="preserve">  (cross-DB: WIM_FA_Staging)</w:t>
      </w:r>
    </w:p>
    <w:p>
      <w:pPr>
        <w:spacing w:after="100" w:before="60"/>
      </w:pPr>
      <w:r>
        <w:rPr>
          <w:rFonts w:ascii="Arial" w:cs="Arial" w:eastAsia="Arial" w:hAnsi="Arial"/>
          <w:sz w:val="22"/>
          <w:szCs w:val="22"/>
        </w:rPr>
        <w:t xml:space="preserve">Joins on client UCN to add banking segment, main banked flag, and household key. Both sides need a collation cast to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HIGH RISK  </w:t>
            </w:r>
            <w:r>
              <w:rPr>
                <w:rFonts w:ascii="Arial" w:cs="Arial" w:eastAsia="Arial" w:hAnsi="Arial"/>
                <w:color w:val="404040"/>
                <w:sz w:val="20"/>
                <w:szCs w:val="20"/>
              </w:rPr>
              <w:t xml:space="preserve">This join is MISSING a year-month filter. A client with segment records across 12 months will produce 12 rows where there should be 1 — multiplying market values by up to 12x. This is the highest-severity known issue.</w:t>
            </w:r>
          </w:p>
        </w:tc>
      </w:tr>
    </w:tbl>
    <w:p>
      <w:pPr>
        <w:spacing w:after="0" w:before="200"/>
      </w:pPr>
    </w:p>
    <w:p>
      <w:pPr>
        <w:pStyle w:val="Heading2"/>
        <w:spacing w:after="80" w:before="240"/>
      </w:pPr>
      <w:r>
        <w:rPr>
          <w:rFonts w:ascii="Arial" w:cs="Arial" w:eastAsia="Arial" w:hAnsi="Arial"/>
          <w:b/>
          <w:bCs/>
          <w:color w:val="2E74B5"/>
          <w:sz w:val="26"/>
          <w:szCs w:val="26"/>
        </w:rPr>
        <w:t xml:space="preserve">Step 10 — Attach Fund Details  (LEFT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tempInstrumentDetails</w:t>
      </w:r>
      <w:r>
        <w:rPr>
          <w:rFonts w:ascii="Arial" w:cs="Arial" w:eastAsia="Arial" w:hAnsi="Arial"/>
          <w:sz w:val="22"/>
          <w:szCs w:val="22"/>
        </w:rPr>
        <w:t xml:space="preserve"> aliased as </w:t>
      </w:r>
      <w:r>
        <w:rPr>
          <w:rFonts w:ascii="Courier New" w:cs="Courier New" w:eastAsia="Courier New" w:hAnsi="Courier New"/>
          <w:color w:val="C7254E"/>
          <w:sz w:val="18"/>
          <w:szCs w:val="18"/>
          <w:shd w:fill="F9F2F4" w:val="clear"/>
        </w:rPr>
        <w:t xml:space="preserve">Fund</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PortfolioDetails.InstrumentID = Fund.InstrumentID</w:t>
      </w:r>
    </w:p>
    <w:p>
      <w:pPr>
        <w:spacing w:after="100" w:before="60"/>
      </w:pPr>
      <w:r>
        <w:rPr>
          <w:rFonts w:ascii="Arial" w:cs="Arial" w:eastAsia="Arial" w:hAnsi="Arial"/>
          <w:sz w:val="22"/>
          <w:szCs w:val="22"/>
        </w:rPr>
        <w:t xml:space="preserve">Second use of tempInstrumentDetails — this time for the underlying fund rather than the product wrapper. Brings in ISIN, JSE code, fund family, currency, and supplier.</w:t>
      </w:r>
    </w:p>
    <w:p>
      <w:pPr>
        <w:spacing w:after="100" w:before="60"/>
      </w:pPr>
      <w:r>
        <w:rPr>
          <w:rFonts w:ascii="Arial" w:cs="Arial" w:eastAsia="Arial" w:hAnsi="Arial"/>
          <w:sz w:val="22"/>
          <w:szCs w:val="22"/>
        </w:rPr>
        <w:t xml:space="preserve">FundRegion is derived here: if BaseCurrency = ZAR then 'Domestic', else 'Non Domestic'.</w:t>
      </w:r>
    </w:p>
    <w:p>
      <w:pPr>
        <w:spacing w:after="0" w:before="120"/>
      </w:pPr>
    </w:p>
    <w:p>
      <w:pPr>
        <w:pStyle w:val="Heading2"/>
        <w:spacing w:after="80" w:before="240"/>
      </w:pPr>
      <w:r>
        <w:rPr>
          <w:rFonts w:ascii="Arial" w:cs="Arial" w:eastAsia="Arial" w:hAnsi="Arial"/>
          <w:b/>
          <w:bCs/>
          <w:color w:val="2E74B5"/>
          <w:sz w:val="26"/>
          <w:szCs w:val="26"/>
        </w:rPr>
        <w:t xml:space="preserve">Step 11 — Attach Analytics Overlays  (LEFT JOIN)</w:t>
      </w:r>
    </w:p>
    <w:p>
      <w:pPr>
        <w:spacing w:after="100" w:before="60"/>
      </w:pPr>
      <w:r>
        <w:rPr>
          <w:rFonts w:ascii="Arial" w:cs="Arial" w:eastAsia="Arial" w:hAnsi="Arial"/>
          <w:b/>
          <w:bCs/>
          <w:sz w:val="22"/>
          <w:szCs w:val="22"/>
        </w:rPr>
        <w:t xml:space="preserve">Table: </w:t>
      </w:r>
      <w:r>
        <w:rPr>
          <w:rFonts w:ascii="Courier New" w:cs="Courier New" w:eastAsia="Courier New" w:hAnsi="Courier New"/>
          <w:color w:val="C7254E"/>
          <w:sz w:val="18"/>
          <w:szCs w:val="18"/>
          <w:shd w:fill="F9F2F4" w:val="clear"/>
        </w:rPr>
        <w:t xml:space="preserve">Investment_Analytics.Mapping.Security</w:t>
      </w:r>
      <w:r>
        <w:rPr>
          <w:rFonts w:ascii="Arial" w:cs="Arial" w:eastAsia="Arial" w:hAnsi="Arial"/>
          <w:sz w:val="22"/>
          <w:szCs w:val="22"/>
        </w:rPr>
        <w:t xml:space="preserve">  |  Join: </w:t>
      </w:r>
      <w:r>
        <w:rPr>
          <w:rFonts w:ascii="Courier New" w:cs="Courier New" w:eastAsia="Courier New" w:hAnsi="Courier New"/>
          <w:color w:val="C7254E"/>
          <w:sz w:val="18"/>
          <w:szCs w:val="18"/>
          <w:shd w:fill="F9F2F4" w:val="clear"/>
        </w:rPr>
        <w:t xml:space="preserve">Fund.InstrumentID = SecurityID</w:t>
      </w:r>
    </w:p>
    <w:p>
      <w:pPr>
        <w:spacing w:after="100" w:before="60"/>
      </w:pPr>
      <w:r>
        <w:rPr>
          <w:rFonts w:ascii="Arial" w:cs="Arial" w:eastAsia="Arial" w:hAnsi="Arial"/>
          <w:sz w:val="22"/>
          <w:szCs w:val="22"/>
        </w:rPr>
        <w:t xml:space="preserve">Adds house view classification, group vs third-party flag, cash or solution flag, master fund name, and local vs offshore. All output via COALESCE to x-unallocated if no match. Pure annotation — no effect on value.</w:t>
      </w:r>
    </w:p>
    <w:p>
      <w:pPr>
        <w:spacing w:after="0" w:before="200"/>
      </w:pPr>
    </w:p>
    <w:p>
      <w:pPr>
        <w:pStyle w:val="Heading2"/>
        <w:spacing w:after="80" w:before="240"/>
      </w:pPr>
      <w:r>
        <w:rPr>
          <w:rFonts w:ascii="Arial" w:cs="Arial" w:eastAsia="Arial" w:hAnsi="Arial"/>
          <w:b/>
          <w:bCs/>
          <w:color w:val="2E74B5"/>
          <w:sz w:val="26"/>
          <w:szCs w:val="26"/>
        </w:rPr>
        <w:t xml:space="preserve">Step 12 — Attach Co-Manager and Fee Group  (LEFT JOIN + OUTER APPLY)</w:t>
      </w:r>
    </w:p>
    <w:p>
      <w:pPr>
        <w:spacing w:after="100" w:before="60"/>
      </w:pPr>
      <w:r>
        <w:rPr>
          <w:rFonts w:ascii="Arial" w:cs="Arial" w:eastAsia="Arial" w:hAnsi="Arial"/>
          <w:b/>
          <w:bCs/>
          <w:sz w:val="22"/>
          <w:szCs w:val="22"/>
        </w:rPr>
        <w:t xml:space="preserve">vCoManager</w:t>
      </w:r>
      <w:r>
        <w:rPr>
          <w:rFonts w:ascii="Arial" w:cs="Arial" w:eastAsia="Arial" w:hAnsi="Arial"/>
          <w:sz w:val="22"/>
          <w:szCs w:val="22"/>
        </w:rPr>
        <w:t xml:space="preserve"> — LEFT JOIN on EntityID. Adds CoManager1 and CoManager2 to the client. No effect on values.</w:t>
      </w:r>
    </w:p>
    <w:p>
      <w:pPr>
        <w:spacing w:after="100" w:before="60"/>
      </w:pPr>
      <w:r>
        <w:rPr>
          <w:rFonts w:ascii="Arial" w:cs="Arial" w:eastAsia="Arial" w:hAnsi="Arial"/>
          <w:b/>
          <w:bCs/>
          <w:sz w:val="22"/>
          <w:szCs w:val="22"/>
        </w:rPr>
        <w:t xml:space="preserve">FeeGroupMember</w:t>
      </w:r>
      <w:r>
        <w:rPr>
          <w:rFonts w:ascii="Arial" w:cs="Arial" w:eastAsia="Arial" w:hAnsi="Arial"/>
          <w:sz w:val="22"/>
          <w:szCs w:val="22"/>
        </w:rPr>
        <w:t xml:space="preserve"> — OUTER APPLY with TOP 1. Selects one fee group record per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NOTE  </w:t>
            </w:r>
            <w:r>
              <w:rPr>
                <w:rFonts w:ascii="Arial" w:cs="Arial" w:eastAsia="Arial" w:hAnsi="Arial"/>
                <w:color w:val="404040"/>
                <w:sz w:val="20"/>
                <w:szCs w:val="20"/>
              </w:rPr>
              <w:t xml:space="preserve">The OUTER APPLY uses TOP 1 without ORDER BY — the database engine picks any row. Results are non-deterministic and may differ between runs. Fix: add ORDER BY ff.CreatedDate DESC.</w:t>
            </w:r>
          </w:p>
        </w:tc>
      </w:tr>
    </w:tbl>
    <w:p>
      <w:pPr>
        <w:spacing w:after="0" w:before="120"/>
      </w:pPr>
    </w:p>
    <w:p>
      <w:pPr>
        <w:pStyle w:val="Heading2"/>
        <w:spacing w:after="80" w:before="240"/>
      </w:pPr>
      <w:r>
        <w:rPr>
          <w:rFonts w:ascii="Arial" w:cs="Arial" w:eastAsia="Arial" w:hAnsi="Arial"/>
          <w:b/>
          <w:bCs/>
          <w:color w:val="2E74B5"/>
          <w:sz w:val="26"/>
          <w:szCs w:val="26"/>
        </w:rPr>
        <w:t xml:space="preserve">Step 13 — Compute output values in SELECT</w:t>
      </w:r>
    </w:p>
    <w:p>
      <w:pPr>
        <w:spacing w:after="100" w:before="60"/>
      </w:pPr>
      <w:r>
        <w:rPr>
          <w:rFonts w:ascii="Arial" w:cs="Arial" w:eastAsia="Arial" w:hAnsi="Arial"/>
          <w:sz w:val="22"/>
          <w:szCs w:val="22"/>
        </w:rPr>
        <w:t xml:space="preserve">The SELECT clause applies business logic to produce the final output fields. Key calculations:</w:t>
      </w:r>
    </w:p>
    <w:p>
      <w:pPr>
        <w:pStyle w:val="ListParagraph"/>
        <w:numPr>
          <w:ilvl w:val="0"/>
          <w:numId w:val="2"/>
        </w:numPr>
        <w:spacing w:after="40" w:before="40"/>
      </w:pPr>
      <w:r>
        <w:rPr>
          <w:rFonts w:ascii="Arial" w:cs="Arial" w:eastAsia="Arial" w:hAnsi="Arial"/>
          <w:b/>
          <w:bCs/>
          <w:sz w:val="22"/>
          <w:szCs w:val="22"/>
        </w:rPr>
        <w:t xml:space="preserve">MarketValue: </w:t>
      </w:r>
      <w:r>
        <w:rPr>
          <w:rFonts w:ascii="Courier New" w:cs="Courier New" w:eastAsia="Courier New" w:hAnsi="Courier New"/>
          <w:color w:val="C7254E"/>
          <w:sz w:val="18"/>
          <w:szCs w:val="18"/>
          <w:shd w:fill="F9F2F4" w:val="clear"/>
        </w:rPr>
        <w:t xml:space="preserve">AmountConverted * COALESCE(SplitPercentage, 100) / 100</w:t>
      </w:r>
      <w:r>
        <w:rPr>
          <w:rFonts w:ascii="Arial" w:cs="Arial" w:eastAsia="Arial" w:hAnsi="Arial"/>
          <w:sz w:val="22"/>
          <w:szCs w:val="22"/>
        </w:rPr>
        <w:t xml:space="preserve"> — applies adviser split. If no split record, assumes 100%.</w:t>
      </w:r>
    </w:p>
    <w:p>
      <w:pPr>
        <w:pStyle w:val="ListParagraph"/>
        <w:numPr>
          <w:ilvl w:val="0"/>
          <w:numId w:val="2"/>
        </w:numPr>
        <w:spacing w:after="40" w:before="40"/>
      </w:pPr>
      <w:r>
        <w:rPr>
          <w:rFonts w:ascii="Arial" w:cs="Arial" w:eastAsia="Arial" w:hAnsi="Arial"/>
          <w:b/>
          <w:bCs/>
          <w:sz w:val="22"/>
          <w:szCs w:val="22"/>
        </w:rPr>
        <w:t xml:space="preserve">MarketValueOriginalCurrency: </w:t>
      </w:r>
      <w:r>
        <w:rPr>
          <w:rFonts w:ascii="Courier New" w:cs="Courier New" w:eastAsia="Courier New" w:hAnsi="Courier New"/>
          <w:color w:val="C7254E"/>
          <w:sz w:val="18"/>
          <w:szCs w:val="18"/>
          <w:shd w:fill="F9F2F4" w:val="clear"/>
        </w:rPr>
        <w:t xml:space="preserve">MarketValue * ExchangeRate</w:t>
      </w:r>
      <w:r>
        <w:rPr>
          <w:rFonts w:ascii="Arial" w:cs="Arial" w:eastAsia="Arial" w:hAnsi="Arial"/>
          <w:sz w:val="22"/>
          <w:szCs w:val="22"/>
        </w:rPr>
        <w:t xml:space="preserve"> — converts back to fund currency.</w:t>
      </w:r>
    </w:p>
    <w:p>
      <w:pPr>
        <w:pStyle w:val="ListParagraph"/>
        <w:numPr>
          <w:ilvl w:val="0"/>
          <w:numId w:val="2"/>
        </w:numPr>
        <w:spacing w:after="40" w:before="40"/>
      </w:pPr>
      <w:r>
        <w:rPr>
          <w:rFonts w:ascii="Arial" w:cs="Arial" w:eastAsia="Arial" w:hAnsi="Arial"/>
          <w:b/>
          <w:bCs/>
          <w:sz w:val="22"/>
          <w:szCs w:val="22"/>
        </w:rPr>
        <w:t xml:space="preserve">FeeMandateGroup: </w:t>
      </w:r>
      <w:r>
        <w:rPr>
          <w:rFonts w:ascii="Arial" w:cs="Arial" w:eastAsia="Arial" w:hAnsi="Arial"/>
          <w:sz w:val="22"/>
          <w:szCs w:val="22"/>
        </w:rPr>
        <w:t xml:space="preserve">CASE logic groups the raw fee mandate name into Cash / Discretionary / Broker Appointment / x-unallocated.</w:t>
      </w:r>
    </w:p>
    <w:p>
      <w:pPr>
        <w:pStyle w:val="ListParagraph"/>
        <w:numPr>
          <w:ilvl w:val="0"/>
          <w:numId w:val="2"/>
        </w:numPr>
        <w:spacing w:after="40" w:before="40"/>
      </w:pPr>
      <w:r>
        <w:rPr>
          <w:rFonts w:ascii="Arial" w:cs="Arial" w:eastAsia="Arial" w:hAnsi="Arial"/>
          <w:b/>
          <w:bCs/>
          <w:sz w:val="22"/>
          <w:szCs w:val="22"/>
        </w:rPr>
        <w:t xml:space="preserve">HouseView: </w:t>
      </w:r>
      <w:r>
        <w:rPr>
          <w:rFonts w:ascii="Arial" w:cs="Arial" w:eastAsia="Arial" w:hAnsi="Arial"/>
          <w:sz w:val="22"/>
          <w:szCs w:val="22"/>
        </w:rPr>
        <w:t xml:space="preserve">CASE on IsHouseview flag: 1 = HV, 0 = Non HV, NULL = x-unallocated.</w:t>
      </w:r>
    </w:p>
    <w:p>
      <w:pPr>
        <w:pStyle w:val="ListParagraph"/>
        <w:numPr>
          <w:ilvl w:val="0"/>
          <w:numId w:val="2"/>
        </w:numPr>
        <w:spacing w:after="40" w:before="40"/>
      </w:pPr>
      <w:r>
        <w:rPr>
          <w:rFonts w:ascii="Arial" w:cs="Arial" w:eastAsia="Arial" w:hAnsi="Arial"/>
          <w:b/>
          <w:bCs/>
          <w:sz w:val="22"/>
          <w:szCs w:val="22"/>
        </w:rPr>
        <w:t xml:space="preserve">Rundate: </w:t>
      </w:r>
      <w:r>
        <w:rPr>
          <w:rFonts w:ascii="Courier New" w:cs="Courier New" w:eastAsia="Courier New" w:hAnsi="Courier New"/>
          <w:color w:val="C7254E"/>
          <w:sz w:val="18"/>
          <w:szCs w:val="18"/>
          <w:shd w:fill="F9F2F4" w:val="clear"/>
        </w:rPr>
        <w:t xml:space="preserve">GETDATE()</w:t>
      </w:r>
      <w:r>
        <w:rPr>
          <w:rFonts w:ascii="Arial" w:cs="Arial" w:eastAsia="Arial" w:hAnsi="Arial"/>
          <w:sz w:val="22"/>
          <w:szCs w:val="22"/>
        </w:rPr>
        <w:t xml:space="preserve"> — timestamp of this exact run, written to every row.</w:t>
      </w:r>
    </w:p>
    <w:p>
      <w:pPr>
        <w:spacing w:after="0" w:before="200"/>
      </w:pPr>
    </w:p>
    <w:p>
      <w:pPr>
        <w:pStyle w:val="Heading1"/>
        <w:spacing w:after="120" w:before="360"/>
      </w:pPr>
      <w:r>
        <w:rPr>
          <w:rFonts w:ascii="Arial" w:cs="Arial" w:eastAsia="Arial" w:hAnsi="Arial"/>
          <w:b/>
          <w:bCs/>
          <w:color w:val="1F497D"/>
          <w:sz w:val="32"/>
          <w:szCs w:val="32"/>
        </w:rPr>
        <w:t xml:space="preserve">5.  Key relationships — unified DB perspective</w:t>
      </w:r>
    </w:p>
    <w:p>
      <w:pPr>
        <w:spacing w:after="100" w:before="60"/>
      </w:pPr>
      <w:r>
        <w:rPr>
          <w:rFonts w:ascii="Arial" w:cs="Arial" w:eastAsia="Arial" w:hAnsi="Arial"/>
          <w:sz w:val="22"/>
          <w:szCs w:val="22"/>
        </w:rPr>
        <w:t xml:space="preserve">This section summarises the most important relationships observed in this SP that will need to be preserved or resolved in a unified database design.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560"/>
      </w:tblGrid>
      <w:tr>
        <w:trPr>
          <w:tblHeader/>
        </w:trPr>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From</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w:t>
            </w:r>
          </w:p>
        </w:tc>
        <w:tc>
          <w:tcPr>
            <w:tcW w:type="dxa" w:w="14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How</w:t>
            </w:r>
          </w:p>
        </w:tc>
        <w:tc>
          <w:tcPr>
            <w:tcW w:type="dxa" w:w="3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Notes for Unified DB</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Portfolio (PortfolioEntryID)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Market Values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INNER JOIN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Core 1:many. One portfolio has many monthly value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Portfolio (RootPortfolioEntryID)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Asset Split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LEFT JOIN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Determines adviser share. Portfolio:split is 1:many (one per adviser).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Portfolio (EntityID)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Client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INNER JOIN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Many portfolios to one client. Mandatory — no client = row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Portfolio (InstrumentID)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Fund details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LEFT JOIN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Portfolio holds one fund. Fund details enriched from instrument table.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Portfolio (RootInstrumentID)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Product details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LEFT JOIN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before="0"/>
            </w:pPr>
            <w:r>
              <w:rPr>
                <w:rFonts w:ascii="Arial" w:cs="Arial" w:eastAsia="Arial" w:hAnsi="Arial"/>
                <w:sz w:val="20"/>
                <w:szCs w:val="20"/>
              </w:rPr>
              <w:t xml:space="preserve">Same instrument table, different role. One table = two logical entities.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Asset Split (BrokerEntityID)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Adviser / Staff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LEFT JOIN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Adviser key is BrokerEntityID. Maps to EntityID in staff table.</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20"/>
                <w:szCs w:val="20"/>
              </w:rPr>
              <w:t xml:space="preserve">Client (UCN)</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20"/>
                <w:szCs w:val="20"/>
              </w:rPr>
              <w:t xml:space="preserve">Segmentation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20"/>
                <w:szCs w:val="20"/>
              </w:rPr>
              <w:t xml:space="preserve">LEFT JOIN</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spacing w:after="0" w:before="0"/>
            </w:pPr>
            <w:r>
              <w:rPr>
                <w:rFonts w:ascii="Arial" w:cs="Arial" w:eastAsia="Arial" w:hAnsi="Arial"/>
                <w:sz w:val="20"/>
                <w:szCs w:val="20"/>
              </w:rPr>
              <w:t xml:space="preserve">Cross-DB join. Missing year-month filter = duplicate 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Fund (InstrumentID)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Security analytics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LEFT JOIN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sz w:val="20"/>
                <w:szCs w:val="20"/>
              </w:rPr>
              <w:t xml:space="preserve">One fund to one security classification. Safe 1:1 join.</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20"/>
                <w:szCs w:val="20"/>
              </w:rPr>
              <w:t xml:space="preserve">Client (EntityID)</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20"/>
                <w:szCs w:val="20"/>
              </w:rPr>
              <w:t xml:space="preserve">Fee Group</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20"/>
                <w:szCs w:val="20"/>
              </w:rPr>
              <w:t xml:space="preserve">OUTER APPLY TOP 1</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spacing w:after="0" w:before="0"/>
            </w:pPr>
            <w:r>
              <w:rPr>
                <w:rFonts w:ascii="Arial" w:cs="Arial" w:eastAsia="Arial" w:hAnsi="Arial"/>
                <w:sz w:val="20"/>
                <w:szCs w:val="20"/>
              </w:rPr>
              <w:t xml:space="preserve">Non-deterministic. Should become a resolved FK in unified DB.</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0" w:before="0"/>
            </w:pPr>
            <w:r>
              <w:rPr>
                <w:rFonts w:ascii="Arial" w:cs="Arial" w:eastAsia="Arial" w:hAnsi="Arial"/>
                <w:b/>
                <w:bCs/>
                <w:color w:val="404040"/>
                <w:sz w:val="20"/>
                <w:szCs w:val="20"/>
              </w:rPr>
              <w:t xml:space="preserve">SUMMARY  </w:t>
            </w:r>
            <w:r>
              <w:rPr>
                <w:rFonts w:ascii="Arial" w:cs="Arial" w:eastAsia="Arial" w:hAnsi="Arial"/>
                <w:color w:val="404040"/>
                <w:sz w:val="20"/>
                <w:szCs w:val="20"/>
              </w:rPr>
              <w:t xml:space="preserve">This SP is a strong starting point for the unified DB — it surfaces most of the key entity relationships: Client → Portfolio → Fund → Adviser → Product. The main gaps are: (1) the broken segmentation join, (2) the non-deterministic fee group, and (3) the unknown coverage of the SalesPerson region table. These should be resolved before treating this SP as the canonical relationship map.</w:t>
            </w:r>
          </w:p>
        </w:tc>
      </w:tr>
    </w:tbl>
    <w:p>
      <w:pPr>
        <w:spacing w:after="0" w:before="120"/>
      </w:pPr>
    </w:p>
    <w:p>
      <w:pPr>
        <w:spacing w:after="100" w:before="60"/>
      </w:pPr>
      <w:r>
        <w:rPr>
          <w:rFonts w:ascii="Arial" w:cs="Arial" w:eastAsia="Arial" w:hAnsi="Arial"/>
          <w:i/>
          <w:iCs/>
          <w:color w:val="AAAAAA"/>
          <w:sz w:val="18"/>
          <w:szCs w:val="18"/>
        </w:rPr>
        <w:t xml:space="preserve">In memory of Cameron Clarence, 2022 — whose comment lives on in the code.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AUA Fund Level — Unified DB Investigation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2026-04-21T00:39:58.352Z</dcterms:created>
  <dcterms:modified xsi:type="dcterms:W3CDTF">2026-04-21T00:39:58.353Z</dcterms:modified>
</cp:coreProperties>
</file>

<file path=docProps/custom.xml><?xml version="1.0" encoding="utf-8"?>
<Properties xmlns="http://schemas.openxmlformats.org/officeDocument/2006/custom-properties" xmlns:vt="http://schemas.openxmlformats.org/officeDocument/2006/docPropsVTypes"/>
</file>