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E030" w14:textId="77777777" w:rsidR="00F023DE" w:rsidRDefault="00F023D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F023DE" w14:paraId="5F818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5480" w14:textId="77777777" w:rsidR="00F023DE" w:rsidRDefault="00000000">
            <w:r>
              <w:rPr>
                <w:b/>
                <w:bCs/>
                <w:color w:val="FFFFFF"/>
                <w:sz w:val="18"/>
                <w:szCs w:val="18"/>
              </w:rPr>
              <w:t>Unified table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7BC9" w14:textId="77777777" w:rsidR="00F023DE" w:rsidRDefault="00000000">
            <w:r>
              <w:rPr>
                <w:b/>
                <w:bCs/>
                <w:color w:val="FFFFFF"/>
                <w:sz w:val="18"/>
                <w:szCs w:val="18"/>
              </w:rPr>
              <w:t>Replaces (14 source objects, 4 databases)</w:t>
            </w:r>
          </w:p>
        </w:tc>
        <w:tc>
          <w:tcPr>
            <w:tcW w:w="3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73DC" w14:textId="77777777" w:rsidR="00F023DE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F023DE" w14:paraId="66238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B47E" w14:textId="77777777" w:rsidR="00F023DE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fact_portfolio_monthly</w:t>
            </w:r>
            <w:proofErr w:type="spellEnd"/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F62D" w14:textId="77777777" w:rsidR="00F023DE" w:rsidRDefault="00000000">
            <w:proofErr w:type="spellStart"/>
            <w:r>
              <w:rPr>
                <w:sz w:val="18"/>
                <w:szCs w:val="18"/>
              </w:rPr>
              <w:t>tempPortfolioDetails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tempPortfolioValues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FeePerMonth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tempPortfolioAssetSplit_Test</w:t>
            </w:r>
            <w:proofErr w:type="spellEnd"/>
          </w:p>
        </w:tc>
        <w:tc>
          <w:tcPr>
            <w:tcW w:w="3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F186" w14:textId="77777777" w:rsidR="00D7259D" w:rsidRPr="00D7259D" w:rsidRDefault="00D7259D" w:rsidP="00D7259D">
            <w:pPr>
              <w:rPr>
                <w:rFonts w:ascii="Aptos" w:hAnsi="Aptos" w:cs="Calibri"/>
                <w:i/>
                <w:iCs/>
                <w:color w:val="000000"/>
                <w:sz w:val="24"/>
                <w:szCs w:val="24"/>
              </w:rPr>
            </w:pPr>
            <w:r w:rsidRPr="00D7259D">
              <w:rPr>
                <w:rFonts w:ascii="Aptos" w:hAnsi="Aptos" w:cs="Calibri"/>
                <w:i/>
                <w:iCs/>
                <w:color w:val="000000"/>
                <w:sz w:val="24"/>
                <w:szCs w:val="24"/>
              </w:rPr>
              <w:t xml:space="preserve">All mandatory INNER JOINs in the stored procedure. One row per portfolio × month × broker split. Uses a 5-year rolling window. Commission % drawn from base table </w:t>
            </w:r>
            <w:proofErr w:type="spellStart"/>
            <w:r w:rsidRPr="00D7259D">
              <w:rPr>
                <w:rFonts w:ascii="Aptos" w:hAnsi="Aptos" w:cs="Calibri"/>
                <w:i/>
                <w:iCs/>
                <w:color w:val="000000"/>
                <w:sz w:val="24"/>
                <w:szCs w:val="24"/>
              </w:rPr>
              <w:t>FeePerMonth</w:t>
            </w:r>
            <w:proofErr w:type="spellEnd"/>
            <w:r w:rsidRPr="00D7259D">
              <w:rPr>
                <w:rFonts w:ascii="Aptos" w:hAnsi="Aptos" w:cs="Calibri"/>
                <w:i/>
                <w:iCs/>
                <w:color w:val="000000"/>
                <w:sz w:val="24"/>
                <w:szCs w:val="24"/>
              </w:rPr>
              <w:t>, not the view.</w:t>
            </w:r>
          </w:p>
          <w:p w14:paraId="3557033A" w14:textId="62C895BE" w:rsidR="00F023DE" w:rsidRPr="00D7259D" w:rsidRDefault="00F023DE">
            <w:pPr>
              <w:rPr>
                <w:rFonts w:ascii="Aptos" w:hAnsi="Aptos"/>
                <w:i/>
                <w:iCs/>
                <w:sz w:val="24"/>
                <w:szCs w:val="24"/>
              </w:rPr>
            </w:pPr>
          </w:p>
        </w:tc>
      </w:tr>
      <w:tr w:rsidR="00F023DE" w14:paraId="55D058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4189" w14:textId="77777777" w:rsidR="00F023DE" w:rsidRDefault="00000000">
            <w:proofErr w:type="spellStart"/>
            <w:r>
              <w:rPr>
                <w:b/>
                <w:bCs/>
                <w:color w:val="1E6B3C"/>
                <w:sz w:val="18"/>
                <w:szCs w:val="18"/>
              </w:rPr>
              <w:t>dim_adviser</w:t>
            </w:r>
            <w:proofErr w:type="spellEnd"/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0DD2" w14:textId="719D1FA4" w:rsidR="00F023DE" w:rsidRDefault="00000000">
            <w:proofErr w:type="spellStart"/>
            <w:r>
              <w:rPr>
                <w:sz w:val="18"/>
                <w:szCs w:val="18"/>
              </w:rPr>
              <w:t>tempStaffDetails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SalesPerson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tempClientStaffRelationNew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EntityStaffCore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 w:rsidR="00D7259D">
              <w:rPr>
                <w:sz w:val="18"/>
                <w:szCs w:val="18"/>
              </w:rPr>
              <w:t>Linked Server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FE3E" w14:textId="38C3FE17" w:rsidR="00F023DE" w:rsidRPr="00D7259D" w:rsidRDefault="00D7259D">
            <w:pPr>
              <w:rPr>
                <w:rFonts w:ascii="Aptos" w:hAnsi="Aptos"/>
                <w:i/>
                <w:iCs/>
                <w:sz w:val="24"/>
                <w:szCs w:val="24"/>
              </w:rPr>
            </w:pPr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>All describe the same adviser. Cross-database join to Investment_Analytics eliminated at ETL load. Approximately 2.5% of advisers have no region match → NULL.</w:t>
            </w:r>
          </w:p>
        </w:tc>
      </w:tr>
      <w:tr w:rsidR="00F023DE" w14:paraId="34028A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8197" w14:textId="77777777" w:rsidR="00F023DE" w:rsidRDefault="00000000">
            <w:proofErr w:type="spellStart"/>
            <w:r>
              <w:rPr>
                <w:b/>
                <w:bCs/>
                <w:color w:val="7B5E00"/>
                <w:sz w:val="18"/>
                <w:szCs w:val="18"/>
              </w:rPr>
              <w:t>dim_instrument</w:t>
            </w:r>
            <w:proofErr w:type="spellEnd"/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585E" w14:textId="77777777" w:rsidR="00F023DE" w:rsidRDefault="00000000">
            <w:proofErr w:type="spellStart"/>
            <w:r>
              <w:rPr>
                <w:sz w:val="18"/>
                <w:szCs w:val="18"/>
              </w:rPr>
              <w:t>tempInstrumentDetails</w:t>
            </w:r>
            <w:proofErr w:type="spellEnd"/>
            <w:r>
              <w:rPr>
                <w:sz w:val="18"/>
                <w:szCs w:val="18"/>
              </w:rPr>
              <w:t xml:space="preserve"> (×2 aliases) · </w:t>
            </w:r>
            <w:proofErr w:type="spellStart"/>
            <w:r>
              <w:rPr>
                <w:sz w:val="18"/>
                <w:szCs w:val="18"/>
              </w:rPr>
              <w:t>InstrumentSupplier</w:t>
            </w:r>
            <w:proofErr w:type="spellEnd"/>
            <w:r>
              <w:rPr>
                <w:sz w:val="18"/>
                <w:szCs w:val="18"/>
              </w:rPr>
              <w:t xml:space="preserve"> (×2 aliases) · Security (Inv. Analytics)</w:t>
            </w:r>
          </w:p>
        </w:tc>
        <w:tc>
          <w:tcPr>
            <w:tcW w:w="3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F82C" w14:textId="4424D0A4" w:rsidR="00F023DE" w:rsidRPr="00D7259D" w:rsidRDefault="00D7259D">
            <w:pPr>
              <w:rPr>
                <w:rFonts w:ascii="Aptos" w:hAnsi="Aptos"/>
                <w:i/>
                <w:iCs/>
                <w:sz w:val="24"/>
                <w:szCs w:val="24"/>
              </w:rPr>
            </w:pPr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 xml:space="preserve">Same </w:t>
            </w:r>
            <w:proofErr w:type="spellStart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>instrument_id</w:t>
            </w:r>
            <w:proofErr w:type="spellEnd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 xml:space="preserve"> across all aliases. Security columns absorbed — migration confirms long-term direction. Fact table carries two foreign keys: product wrapper and underlying fund.</w:t>
            </w:r>
          </w:p>
        </w:tc>
      </w:tr>
      <w:tr w:rsidR="00F023DE" w14:paraId="50A3FA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D3E6" w14:textId="77777777" w:rsidR="00F023DE" w:rsidRDefault="00000000">
            <w:proofErr w:type="spellStart"/>
            <w:r>
              <w:rPr>
                <w:b/>
                <w:bCs/>
                <w:color w:val="4B1E75"/>
                <w:sz w:val="18"/>
                <w:szCs w:val="18"/>
              </w:rPr>
              <w:t>dim_client</w:t>
            </w:r>
            <w:proofErr w:type="spellEnd"/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1757" w14:textId="09C98B4B" w:rsidR="00F023DE" w:rsidRDefault="00000000">
            <w:proofErr w:type="spellStart"/>
            <w:r>
              <w:rPr>
                <w:sz w:val="18"/>
                <w:szCs w:val="18"/>
              </w:rPr>
              <w:t>tempEntityDetails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vCoManager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Customer_Monthly_Segmentation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EntityCore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 w:rsidR="00D7259D">
              <w:rPr>
                <w:sz w:val="18"/>
                <w:szCs w:val="18"/>
              </w:rPr>
              <w:t>Linked server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36F3" w14:textId="1CAB8C5F" w:rsidR="00F023DE" w:rsidRPr="00D7259D" w:rsidRDefault="00D7259D">
            <w:pPr>
              <w:rPr>
                <w:rFonts w:ascii="Aptos" w:hAnsi="Aptos"/>
                <w:i/>
                <w:iCs/>
                <w:sz w:val="24"/>
                <w:szCs w:val="24"/>
              </w:rPr>
            </w:pPr>
            <w:proofErr w:type="spellStart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>vCoManager</w:t>
            </w:r>
            <w:proofErr w:type="spellEnd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 xml:space="preserve"> (a view) collapsed in. Segmentation columns (</w:t>
            </w:r>
            <w:proofErr w:type="spellStart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>int_retail_model_desc</w:t>
            </w:r>
            <w:proofErr w:type="spellEnd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>main_banked</w:t>
            </w:r>
            <w:proofErr w:type="spellEnd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>household_key</w:t>
            </w:r>
            <w:proofErr w:type="spellEnd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>) are nullable — feed from staging, grain decision pending.</w:t>
            </w:r>
          </w:p>
        </w:tc>
      </w:tr>
      <w:tr w:rsidR="00F023DE" w14:paraId="51DEF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6177" w14:textId="77777777" w:rsidR="00F023DE" w:rsidRDefault="00000000"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dim_fee_group</w:t>
            </w:r>
            <w:proofErr w:type="spellEnd"/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EF4A" w14:textId="77777777" w:rsidR="00F023DE" w:rsidRDefault="00000000">
            <w:proofErr w:type="spellStart"/>
            <w:r>
              <w:rPr>
                <w:sz w:val="18"/>
                <w:szCs w:val="18"/>
              </w:rPr>
              <w:t>FeeGroupMember</w:t>
            </w:r>
            <w:proofErr w:type="spellEnd"/>
            <w:r>
              <w:rPr>
                <w:sz w:val="18"/>
                <w:szCs w:val="18"/>
              </w:rPr>
              <w:t xml:space="preserve"> (OUTER APPLY TOP 1)</w:t>
            </w:r>
          </w:p>
        </w:tc>
        <w:tc>
          <w:tcPr>
            <w:tcW w:w="3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DAA7" w14:textId="69A9A5C5" w:rsidR="00F023DE" w:rsidRPr="00D7259D" w:rsidRDefault="00D7259D">
            <w:pPr>
              <w:rPr>
                <w:rFonts w:ascii="Aptos" w:hAnsi="Aptos"/>
                <w:i/>
                <w:iCs/>
                <w:sz w:val="24"/>
                <w:szCs w:val="24"/>
              </w:rPr>
            </w:pPr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 xml:space="preserve">TOP 1 silently suppressed duplicates. Replaced with </w:t>
            </w:r>
            <w:proofErr w:type="spellStart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>valid_from</w:t>
            </w:r>
            <w:proofErr w:type="spellEnd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 xml:space="preserve"> / </w:t>
            </w:r>
            <w:proofErr w:type="spellStart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>valid_to</w:t>
            </w:r>
            <w:proofErr w:type="spellEnd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 xml:space="preserve"> effectivity. Duplicates now surface as load-time data quality alerts. Only table with historical tracking (</w:t>
            </w:r>
            <w:proofErr w:type="spellStart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>DateDeleted</w:t>
            </w:r>
            <w:proofErr w:type="spellEnd"/>
            <w:r w:rsidRPr="00D7259D">
              <w:rPr>
                <w:rFonts w:ascii="Aptos" w:hAnsi="Aptos"/>
                <w:i/>
                <w:iCs/>
                <w:sz w:val="24"/>
                <w:szCs w:val="24"/>
              </w:rPr>
              <w:t>-based soft delete).</w:t>
            </w:r>
          </w:p>
        </w:tc>
      </w:tr>
    </w:tbl>
    <w:p w14:paraId="3CAFCB61" w14:textId="77777777" w:rsidR="00F023DE" w:rsidRDefault="00F023DE" w:rsidP="00D7259D">
      <w:pPr>
        <w:spacing w:after="200"/>
      </w:pPr>
    </w:p>
    <w:sectPr w:rsidR="00F023DE"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DF6D0" w14:textId="77777777" w:rsidR="002846E5" w:rsidRDefault="002846E5">
      <w:r>
        <w:separator/>
      </w:r>
    </w:p>
  </w:endnote>
  <w:endnote w:type="continuationSeparator" w:id="0">
    <w:p w14:paraId="2AA0DDF8" w14:textId="77777777" w:rsidR="002846E5" w:rsidRDefault="00284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B3519" w14:textId="77777777" w:rsidR="00F023DE" w:rsidRDefault="00000000">
    <w:pPr>
      <w:pBdr>
        <w:top w:val="single" w:sz="3" w:space="1" w:color="A0A0A0"/>
      </w:pBdr>
    </w:pPr>
    <w:r>
      <w:rPr>
        <w:color w:val="A0A0A0"/>
        <w:sz w:val="16"/>
        <w:szCs w:val="16"/>
      </w:rPr>
      <w:t xml:space="preserve">GREEN = confirmed decision   BLUE = new field   AMBER = known assumption (see ETL </w:t>
    </w:r>
    <w:proofErr w:type="gramStart"/>
    <w:r>
      <w:rPr>
        <w:color w:val="A0A0A0"/>
        <w:sz w:val="16"/>
        <w:szCs w:val="16"/>
      </w:rPr>
      <w:t xml:space="preserve">runbook)   </w:t>
    </w:r>
    <w:proofErr w:type="gramEnd"/>
    <w:r>
      <w:rPr>
        <w:color w:val="A0A0A0"/>
        <w:sz w:val="16"/>
        <w:szCs w:val="16"/>
      </w:rPr>
      <w:t>RED = dual FK — read query pattern in section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4DAC4" w14:textId="77777777" w:rsidR="002846E5" w:rsidRDefault="002846E5">
      <w:r>
        <w:separator/>
      </w:r>
    </w:p>
  </w:footnote>
  <w:footnote w:type="continuationSeparator" w:id="0">
    <w:p w14:paraId="2E8D0ADC" w14:textId="77777777" w:rsidR="002846E5" w:rsidRDefault="00284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1F0BA" w14:textId="3495F668" w:rsidR="00F023DE" w:rsidRDefault="00F023DE">
    <w:pPr>
      <w:pBdr>
        <w:bottom w:val="single" w:sz="4" w:space="1" w:color="1F4E79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D8A"/>
    <w:multiLevelType w:val="hybridMultilevel"/>
    <w:tmpl w:val="87483B6E"/>
    <w:lvl w:ilvl="0" w:tplc="35661030">
      <w:start w:val="1"/>
      <w:numFmt w:val="bullet"/>
      <w:lvlText w:val="●"/>
      <w:lvlJc w:val="left"/>
      <w:pPr>
        <w:ind w:left="720" w:hanging="360"/>
      </w:pPr>
    </w:lvl>
    <w:lvl w:ilvl="1" w:tplc="617AF0FE">
      <w:start w:val="1"/>
      <w:numFmt w:val="bullet"/>
      <w:lvlText w:val="○"/>
      <w:lvlJc w:val="left"/>
      <w:pPr>
        <w:ind w:left="1440" w:hanging="360"/>
      </w:pPr>
    </w:lvl>
    <w:lvl w:ilvl="2" w:tplc="EA94EA1C">
      <w:start w:val="1"/>
      <w:numFmt w:val="bullet"/>
      <w:lvlText w:val="■"/>
      <w:lvlJc w:val="left"/>
      <w:pPr>
        <w:ind w:left="2160" w:hanging="360"/>
      </w:pPr>
    </w:lvl>
    <w:lvl w:ilvl="3" w:tplc="C518B7D6">
      <w:start w:val="1"/>
      <w:numFmt w:val="bullet"/>
      <w:lvlText w:val="●"/>
      <w:lvlJc w:val="left"/>
      <w:pPr>
        <w:ind w:left="2880" w:hanging="360"/>
      </w:pPr>
    </w:lvl>
    <w:lvl w:ilvl="4" w:tplc="0AC6A522">
      <w:start w:val="1"/>
      <w:numFmt w:val="bullet"/>
      <w:lvlText w:val="○"/>
      <w:lvlJc w:val="left"/>
      <w:pPr>
        <w:ind w:left="3600" w:hanging="360"/>
      </w:pPr>
    </w:lvl>
    <w:lvl w:ilvl="5" w:tplc="79529CB2">
      <w:start w:val="1"/>
      <w:numFmt w:val="bullet"/>
      <w:lvlText w:val="■"/>
      <w:lvlJc w:val="left"/>
      <w:pPr>
        <w:ind w:left="4320" w:hanging="360"/>
      </w:pPr>
    </w:lvl>
    <w:lvl w:ilvl="6" w:tplc="E69A59C0">
      <w:start w:val="1"/>
      <w:numFmt w:val="bullet"/>
      <w:lvlText w:val="●"/>
      <w:lvlJc w:val="left"/>
      <w:pPr>
        <w:ind w:left="5040" w:hanging="360"/>
      </w:pPr>
    </w:lvl>
    <w:lvl w:ilvl="7" w:tplc="9A18F9AE">
      <w:start w:val="1"/>
      <w:numFmt w:val="bullet"/>
      <w:lvlText w:val="●"/>
      <w:lvlJc w:val="left"/>
      <w:pPr>
        <w:ind w:left="5760" w:hanging="360"/>
      </w:pPr>
    </w:lvl>
    <w:lvl w:ilvl="8" w:tplc="2800D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135A91"/>
    <w:multiLevelType w:val="hybridMultilevel"/>
    <w:tmpl w:val="7C741342"/>
    <w:lvl w:ilvl="0" w:tplc="200E3DA2">
      <w:start w:val="1"/>
      <w:numFmt w:val="bullet"/>
      <w:lvlText w:val="–"/>
      <w:lvlJc w:val="left"/>
      <w:pPr>
        <w:spacing w:after="60"/>
        <w:ind w:left="560" w:hanging="280"/>
      </w:pPr>
    </w:lvl>
    <w:lvl w:ilvl="1" w:tplc="C4C43898">
      <w:numFmt w:val="decimal"/>
      <w:lvlText w:val=""/>
      <w:lvlJc w:val="left"/>
    </w:lvl>
    <w:lvl w:ilvl="2" w:tplc="87DC6CA0">
      <w:numFmt w:val="decimal"/>
      <w:lvlText w:val=""/>
      <w:lvlJc w:val="left"/>
    </w:lvl>
    <w:lvl w:ilvl="3" w:tplc="9B465754">
      <w:numFmt w:val="decimal"/>
      <w:lvlText w:val=""/>
      <w:lvlJc w:val="left"/>
    </w:lvl>
    <w:lvl w:ilvl="4" w:tplc="BECC2A28">
      <w:numFmt w:val="decimal"/>
      <w:lvlText w:val=""/>
      <w:lvlJc w:val="left"/>
    </w:lvl>
    <w:lvl w:ilvl="5" w:tplc="8CB461FC">
      <w:numFmt w:val="decimal"/>
      <w:lvlText w:val=""/>
      <w:lvlJc w:val="left"/>
    </w:lvl>
    <w:lvl w:ilvl="6" w:tplc="6516857C">
      <w:numFmt w:val="decimal"/>
      <w:lvlText w:val=""/>
      <w:lvlJc w:val="left"/>
    </w:lvl>
    <w:lvl w:ilvl="7" w:tplc="6E181ECA">
      <w:numFmt w:val="decimal"/>
      <w:lvlText w:val=""/>
      <w:lvlJc w:val="left"/>
    </w:lvl>
    <w:lvl w:ilvl="8" w:tplc="AE207724">
      <w:numFmt w:val="decimal"/>
      <w:lvlText w:val=""/>
      <w:lvlJc w:val="left"/>
    </w:lvl>
  </w:abstractNum>
  <w:num w:numId="1" w16cid:durableId="353920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3DE"/>
    <w:rsid w:val="002846E5"/>
    <w:rsid w:val="00755389"/>
    <w:rsid w:val="00D7259D"/>
    <w:rsid w:val="00F0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1536"/>
  <w15:docId w15:val="{6B0E5FBC-DB76-4701-A73C-667DEB8EA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25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59D"/>
  </w:style>
  <w:style w:type="paragraph" w:styleId="Footer">
    <w:name w:val="footer"/>
    <w:basedOn w:val="Normal"/>
    <w:link w:val="FooterChar"/>
    <w:uiPriority w:val="99"/>
    <w:unhideWhenUsed/>
    <w:rsid w:val="00D725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6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217</Words>
  <Characters>1240</Characters>
  <Application>Microsoft Office Word</Application>
  <DocSecurity>0</DocSecurity>
  <Lines>10</Lines>
  <Paragraphs>2</Paragraphs>
  <ScaleCrop>false</ScaleCrop>
  <Company>FirstRand Group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Nkomo, Morris</cp:lastModifiedBy>
  <cp:revision>2</cp:revision>
  <dcterms:created xsi:type="dcterms:W3CDTF">2026-04-27T13:13:00Z</dcterms:created>
  <dcterms:modified xsi:type="dcterms:W3CDTF">2026-04-29T08:58:00Z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6eec4e-c7b8-491d-b7d8-90a69632743d_Enabled">
    <vt:lpwstr>true</vt:lpwstr>
  </property>
  <property fmtid="{D5CDD505-2E9C-101B-9397-08002B2CF9AE}" pid="3" name="MSIP_Label_216eec4e-c7b8-491d-b7d8-90a69632743d_SetDate">
    <vt:lpwstr>2026-04-29T08:58:38Z</vt:lpwstr>
  </property>
  <property fmtid="{D5CDD505-2E9C-101B-9397-08002B2CF9AE}" pid="4" name="MSIP_Label_216eec4e-c7b8-491d-b7d8-90a69632743d_Method">
    <vt:lpwstr>Standard</vt:lpwstr>
  </property>
  <property fmtid="{D5CDD505-2E9C-101B-9397-08002B2CF9AE}" pid="5" name="MSIP_Label_216eec4e-c7b8-491d-b7d8-90a69632743d_Name">
    <vt:lpwstr>216eec4e-c7b8-491d-b7d8-90a69632743d</vt:lpwstr>
  </property>
  <property fmtid="{D5CDD505-2E9C-101B-9397-08002B2CF9AE}" pid="6" name="MSIP_Label_216eec4e-c7b8-491d-b7d8-90a69632743d_SiteId">
    <vt:lpwstr>4032514a-830a-4f20-9539-81bbc35b3cd9</vt:lpwstr>
  </property>
  <property fmtid="{D5CDD505-2E9C-101B-9397-08002B2CF9AE}" pid="7" name="MSIP_Label_216eec4e-c7b8-491d-b7d8-90a69632743d_ActionId">
    <vt:lpwstr>130119ae-4445-47ef-be87-4dca94cca37b</vt:lpwstr>
  </property>
  <property fmtid="{D5CDD505-2E9C-101B-9397-08002B2CF9AE}" pid="8" name="MSIP_Label_216eec4e-c7b8-491d-b7d8-90a69632743d_ContentBits">
    <vt:lpwstr>0</vt:lpwstr>
  </property>
  <property fmtid="{D5CDD505-2E9C-101B-9397-08002B2CF9AE}" pid="9" name="MSIP_Label_216eec4e-c7b8-491d-b7d8-90a69632743d_Tag">
    <vt:lpwstr>10, 3, 0, 1</vt:lpwstr>
  </property>
</Properties>
</file>