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00" w:before="0"/>
        <w:jc w:val="center"/>
      </w:pPr>
      <w:r>
        <w:rPr>
          <w:rFonts w:ascii="Arial" w:cs="Arial" w:eastAsia="Arial" w:hAnsi="Arial"/>
          <w:color w:val="595959"/>
          <w:sz w:val="24"/>
          <w:szCs w:val="24"/>
        </w:rPr>
        <w:t xml:space="preserve">Technical Reference Document</w:t>
      </w:r>
    </w:p>
    <w:p>
      <w:pPr>
        <w:pBdr>
          <w:bottom w:val="single" w:color="2E75B6" w:sz="12" w:space="8"/>
        </w:pBdr>
        <w:spacing w:after="120" w:before="0"/>
        <w:jc w:val="center"/>
      </w:pPr>
      <w:r>
        <w:rPr>
          <w:rFonts w:ascii="Arial" w:cs="Arial" w:eastAsia="Arial" w:hAnsi="Arial"/>
          <w:b/>
          <w:bCs/>
          <w:color w:val="1F1F1F"/>
          <w:sz w:val="48"/>
          <w:szCs w:val="48"/>
        </w:rPr>
        <w:t xml:space="preserve">Assets Under Advice — Fund Level Report</w:t>
      </w:r>
    </w:p>
    <w:p>
      <w:pPr>
        <w:spacing w:after="80" w:before="80"/>
      </w:pPr>
    </w:p>
    <w:p>
      <w:pPr>
        <w:spacing w:after="80" w:before="0"/>
        <w:jc w:val="center"/>
      </w:pPr>
      <w:r>
        <w:rPr>
          <w:rFonts w:ascii="Courier New" w:cs="Courier New" w:eastAsia="Courier New" w:hAnsi="Courier New"/>
          <w:color w:val="2E75B6"/>
          <w:sz w:val="22"/>
          <w:szCs w:val="22"/>
        </w:rPr>
        <w:t xml:space="preserve">spdwhAssetsUnderAdvice_Fund_LevelWithFPMM_Fix</w:t>
      </w:r>
    </w:p>
    <w:p>
      <w:pPr>
        <w:spacing w:after="80" w:before="0"/>
        <w:jc w:val="center"/>
      </w:pPr>
      <w:r>
        <w:rPr>
          <w:rFonts w:ascii="Arial" w:cs="Arial" w:eastAsia="Arial" w:hAnsi="Arial"/>
          <w:color w:val="595959"/>
          <w:sz w:val="22"/>
          <w:szCs w:val="22"/>
        </w:rPr>
        <w:t xml:space="preserve">PharosDataWarehouse  |  Business &amp; Analytics Reference</w:t>
      </w:r>
    </w:p>
    <w:p>
      <w:pPr>
        <w:spacing w:after="80" w:before="80"/>
      </w:pPr>
    </w:p>
    <w:p>
      <w:pPr>
        <w:spacing w:after="0" w:before="200"/>
        <w:jc w:val="center"/>
      </w:pPr>
      <w:r>
        <w:rPr>
          <w:rFonts w:ascii="Arial" w:cs="Arial" w:eastAsia="Arial" w:hAnsi="Arial"/>
          <w:i/>
          <w:iCs/>
          <w:color w:val="595959"/>
          <w:sz w:val="20"/>
          <w:szCs w:val="20"/>
        </w:rPr>
        <w:t xml:space="preserve">Documented: 21 April 2026</w:t>
      </w:r>
    </w:p>
    <w:p>
      <w:pPr>
        <w:pageBreakBefore/>
      </w:pPr>
    </w:p>
    <w:p>
      <w:pPr>
        <w:pStyle w:val="Heading1"/>
        <w:pBdr>
          <w:bottom w:val="single" w:color="2E75B6" w:sz="6" w:space="6"/>
        </w:pBdr>
        <w:spacing w:after="180" w:before="360"/>
      </w:pPr>
      <w:r>
        <w:rPr>
          <w:rFonts w:ascii="Arial" w:cs="Arial" w:eastAsia="Arial" w:hAnsi="Arial"/>
          <w:b/>
          <w:bCs/>
          <w:color w:val="1F1F1F"/>
          <w:sz w:val="32"/>
          <w:szCs w:val="32"/>
        </w:rPr>
        <w:t xml:space="preserve">1. Overview</w:t>
      </w:r>
    </w:p>
    <w:p>
      <w:pPr>
        <w:spacing w:after="100" w:before="60"/>
      </w:pPr>
      <w:r>
        <w:rPr>
          <w:rFonts w:ascii="Arial" w:cs="Arial" w:eastAsia="Arial" w:hAnsi="Arial"/>
          <w:b w:val="false"/>
          <w:bCs w:val="false"/>
          <w:i w:val="false"/>
          <w:iCs w:val="false"/>
          <w:color w:val="1F1F1F"/>
          <w:sz w:val="22"/>
          <w:szCs w:val="22"/>
        </w:rPr>
        <w:t xml:space="preserve">This document describes the data, logic, and structure behind the Assets Under Advice (AUA) fund-level report. It is intended for business analysts and reporting stakeholders who consume or manage this data.</w:t>
      </w:r>
    </w:p>
    <w:p>
      <w:pPr>
        <w:spacing w:after="80" w:before="80"/>
      </w:pPr>
    </w:p>
    <w:p>
      <w:pPr>
        <w:pStyle w:val="Heading2"/>
        <w:spacing w:after="120" w:before="280"/>
      </w:pPr>
      <w:r>
        <w:rPr>
          <w:rFonts w:ascii="Arial" w:cs="Arial" w:eastAsia="Arial" w:hAnsi="Arial"/>
          <w:b/>
          <w:bCs/>
          <w:color w:val="2E75B6"/>
          <w:sz w:val="26"/>
          <w:szCs w:val="26"/>
        </w:rPr>
        <w:t xml:space="preserve">1.1 What this report does</w:t>
      </w:r>
    </w:p>
    <w:p>
      <w:pPr>
        <w:spacing w:after="100" w:before="60"/>
      </w:pPr>
      <w:r>
        <w:rPr>
          <w:rFonts w:ascii="Arial" w:cs="Arial" w:eastAsia="Arial" w:hAnsi="Arial"/>
          <w:b w:val="false"/>
          <w:bCs w:val="false"/>
          <w:i w:val="false"/>
          <w:iCs w:val="false"/>
          <w:color w:val="1F1F1F"/>
          <w:sz w:val="22"/>
          <w:szCs w:val="22"/>
        </w:rPr>
        <w:t xml:space="preserve">The report shows, for every active portfolio, how much money each financial adviser has under their advice — broken down to the individual fund held inside that portfolio. One row in the output represents a unique combination of:</w:t>
      </w:r>
    </w:p>
    <w:p>
      <w:pPr>
        <w:pStyle w:val="ListParagraph"/>
        <w:numPr>
          <w:ilvl w:val="0"/>
          <w:numId w:val="2"/>
        </w:numPr>
        <w:spacing w:after="40" w:before="40"/>
      </w:pPr>
      <w:r>
        <w:rPr>
          <w:rFonts w:ascii="Arial" w:cs="Arial" w:eastAsia="Arial" w:hAnsi="Arial"/>
          <w:color w:val="1F1F1F"/>
          <w:sz w:val="22"/>
          <w:szCs w:val="22"/>
        </w:rPr>
        <w:t xml:space="preserve">One portfolio (contract)</w:t>
      </w:r>
    </w:p>
    <w:p>
      <w:pPr>
        <w:pStyle w:val="ListParagraph"/>
        <w:numPr>
          <w:ilvl w:val="0"/>
          <w:numId w:val="2"/>
        </w:numPr>
        <w:spacing w:after="40" w:before="40"/>
      </w:pPr>
      <w:r>
        <w:rPr>
          <w:rFonts w:ascii="Arial" w:cs="Arial" w:eastAsia="Arial" w:hAnsi="Arial"/>
          <w:color w:val="1F1F1F"/>
          <w:sz w:val="22"/>
          <w:szCs w:val="22"/>
        </w:rPr>
        <w:t xml:space="preserve">One fund held within that portfolio</w:t>
      </w:r>
    </w:p>
    <w:p>
      <w:pPr>
        <w:pStyle w:val="ListParagraph"/>
        <w:numPr>
          <w:ilvl w:val="0"/>
          <w:numId w:val="2"/>
        </w:numPr>
        <w:spacing w:after="40" w:before="40"/>
      </w:pPr>
      <w:r>
        <w:rPr>
          <w:rFonts w:ascii="Arial" w:cs="Arial" w:eastAsia="Arial" w:hAnsi="Arial"/>
          <w:color w:val="1F1F1F"/>
          <w:sz w:val="22"/>
          <w:szCs w:val="22"/>
        </w:rPr>
        <w:t xml:space="preserve">One adviser responsible for that portfolio (or a share of it)</w:t>
      </w:r>
    </w:p>
    <w:p>
      <w:pPr>
        <w:pStyle w:val="ListParagraph"/>
        <w:numPr>
          <w:ilvl w:val="0"/>
          <w:numId w:val="2"/>
        </w:numPr>
        <w:spacing w:after="40" w:before="40"/>
      </w:pPr>
      <w:r>
        <w:rPr>
          <w:rFonts w:ascii="Arial" w:cs="Arial" w:eastAsia="Arial" w:hAnsi="Arial"/>
          <w:color w:val="1F1F1F"/>
          <w:sz w:val="22"/>
          <w:szCs w:val="22"/>
        </w:rPr>
        <w:t xml:space="preserve">One reporting month</w:t>
      </w:r>
    </w:p>
    <w:p>
      <w:pPr>
        <w:spacing w:after="80" w:before="80"/>
      </w:pPr>
    </w:p>
    <w:p>
      <w:pPr>
        <w:pStyle w:val="Heading2"/>
        <w:spacing w:after="120" w:before="280"/>
      </w:pPr>
      <w:r>
        <w:rPr>
          <w:rFonts w:ascii="Arial" w:cs="Arial" w:eastAsia="Arial" w:hAnsi="Arial"/>
          <w:b/>
          <w:bCs/>
          <w:color w:val="2E75B6"/>
          <w:sz w:val="26"/>
          <w:szCs w:val="26"/>
        </w:rPr>
        <w:t xml:space="preserve">1.2 Where data is stored</w:t>
      </w:r>
    </w:p>
    <w:p>
      <w:pPr>
        <w:spacing w:after="100" w:before="60"/>
      </w:pPr>
      <w:r>
        <w:rPr>
          <w:rFonts w:ascii="Arial" w:cs="Arial" w:eastAsia="Arial" w:hAnsi="Arial"/>
          <w:b w:val="false"/>
          <w:bCs w:val="false"/>
          <w:i w:val="false"/>
          <w:iCs w:val="false"/>
          <w:color w:val="1F1F1F"/>
          <w:sz w:val="22"/>
          <w:szCs w:val="22"/>
        </w:rPr>
        <w:t xml:space="preserve">The procedure writes its output to a permanent reporting table each time it runs:</w:t>
      </w:r>
    </w:p>
    <w:p>
      <w:pPr>
        <w:spacing w:after="80" w:before="80"/>
      </w:pPr>
      <w:r>
        <w:rPr>
          <w:rFonts w:ascii="Courier New" w:cs="Courier New" w:eastAsia="Courier New" w:hAnsi="Courier New"/>
          <w:color w:val="2E75B6"/>
          <w:sz w:val="18"/>
          <w:szCs w:val="18"/>
        </w:rPr>
        <w:t xml:space="preserve">  [PharosDataWarehouse].[dbo].[vAssetsUnderAdvice_Fund_LevelWithFPMM_Fix]</w:t>
      </w:r>
    </w:p>
    <w:p>
      <w:pPr>
        <w:spacing w:after="100" w:before="60"/>
      </w:pPr>
      <w:r>
        <w:rPr>
          <w:rFonts w:ascii="Arial" w:cs="Arial" w:eastAsia="Arial" w:hAnsi="Arial"/>
          <w:b w:val="false"/>
          <w:bCs w:val="false"/>
          <w:i w:val="false"/>
          <w:iCs w:val="false"/>
          <w:color w:val="1F1F1F"/>
          <w:sz w:val="22"/>
          <w:szCs w:val="22"/>
        </w:rPr>
        <w:t xml:space="preserve">The table is fully truncated and rebuilt on every run — there is no incremental update. The lookback window covers the most recent five years.</w:t>
      </w:r>
    </w:p>
    <w:p>
      <w:pPr>
        <w:spacing w:after="80" w:before="80"/>
      </w:pPr>
    </w:p>
    <w:p>
      <w:pPr>
        <w:pStyle w:val="Heading2"/>
        <w:spacing w:after="120" w:before="280"/>
      </w:pPr>
      <w:r>
        <w:rPr>
          <w:rFonts w:ascii="Arial" w:cs="Arial" w:eastAsia="Arial" w:hAnsi="Arial"/>
          <w:b/>
          <w:bCs/>
          <w:color w:val="2E75B6"/>
          <w:sz w:val="26"/>
          <w:szCs w:val="26"/>
        </w:rPr>
        <w:t xml:space="preserve">1.3 How the market value is calculated</w:t>
      </w:r>
    </w:p>
    <w:p>
      <w:pPr>
        <w:spacing w:after="100" w:before="60"/>
      </w:pPr>
      <w:r>
        <w:rPr>
          <w:rFonts w:ascii="Arial" w:cs="Arial" w:eastAsia="Arial" w:hAnsi="Arial"/>
          <w:b w:val="false"/>
          <w:bCs w:val="false"/>
          <w:i w:val="false"/>
          <w:iCs w:val="false"/>
          <w:color w:val="1F1F1F"/>
          <w:sz w:val="22"/>
          <w:szCs w:val="22"/>
        </w:rPr>
        <w:t xml:space="preserve">For investment products, the market value reported is:</w:t>
      </w:r>
    </w:p>
    <w:p>
      <w:pPr>
        <w:spacing w:after="80" w:before="80"/>
      </w:pPr>
      <w:r>
        <w:rPr>
          <w:rFonts w:ascii="Courier New" w:cs="Courier New" w:eastAsia="Courier New" w:hAnsi="Courier New"/>
          <w:color w:val="2E75B6"/>
          <w:sz w:val="18"/>
          <w:szCs w:val="18"/>
        </w:rPr>
        <w:t xml:space="preserve">  Market value (ZAR)  x  Adviser split percentage  /  100</w:t>
      </w:r>
    </w:p>
    <w:p>
      <w:pPr>
        <w:spacing w:after="100" w:before="60"/>
      </w:pPr>
      <w:r>
        <w:rPr>
          <w:rFonts w:ascii="Arial" w:cs="Arial" w:eastAsia="Arial" w:hAnsi="Arial"/>
          <w:b w:val="false"/>
          <w:bCs w:val="false"/>
          <w:i w:val="false"/>
          <w:iCs w:val="false"/>
          <w:color w:val="1F1F1F"/>
          <w:sz w:val="22"/>
          <w:szCs w:val="22"/>
        </w:rPr>
        <w:t xml:space="preserve">This means if two advisers each manage 50% of a portfolio worth R2,000,000, each adviser's row shows R1,000,000. For non-investment products (risk, medical aid, short-term insurance), the market value is always recorded as zero — these products are included for completeness but do not contribute to AUA figures.</w:t>
      </w:r>
    </w:p>
    <w:p>
      <w:pPr>
        <w:pageBreakBefore/>
      </w:pPr>
    </w:p>
    <w:p>
      <w:pPr>
        <w:pStyle w:val="Heading1"/>
        <w:pBdr>
          <w:bottom w:val="single" w:color="2E75B6" w:sz="6" w:space="6"/>
        </w:pBdr>
        <w:spacing w:after="180" w:before="360"/>
      </w:pPr>
      <w:r>
        <w:rPr>
          <w:rFonts w:ascii="Arial" w:cs="Arial" w:eastAsia="Arial" w:hAnsi="Arial"/>
          <w:b/>
          <w:bCs/>
          <w:color w:val="1F1F1F"/>
          <w:sz w:val="32"/>
          <w:szCs w:val="32"/>
        </w:rPr>
        <w:t xml:space="preserve">2. Data domains and source tables</w:t>
      </w:r>
    </w:p>
    <w:p>
      <w:pPr>
        <w:spacing w:after="100" w:before="60"/>
      </w:pPr>
      <w:r>
        <w:rPr>
          <w:rFonts w:ascii="Arial" w:cs="Arial" w:eastAsia="Arial" w:hAnsi="Arial"/>
          <w:b w:val="false"/>
          <w:bCs w:val="false"/>
          <w:i w:val="false"/>
          <w:iCs w:val="false"/>
          <w:color w:val="1F1F1F"/>
          <w:sz w:val="22"/>
          <w:szCs w:val="22"/>
        </w:rPr>
        <w:t xml:space="preserve">The report draws from five distinct data domains. Each domain is described below with its contributing tables, the join relationship, and its business role in the output.</w:t>
      </w:r>
    </w:p>
    <w:p>
      <w:pPr>
        <w:spacing w:after="80" w:before="80"/>
      </w:pPr>
    </w:p>
    <w:p>
      <w:pPr>
        <w:pStyle w:val="Heading2"/>
        <w:spacing w:after="120" w:before="280"/>
      </w:pPr>
      <w:r>
        <w:rPr>
          <w:rFonts w:ascii="Arial" w:cs="Arial" w:eastAsia="Arial" w:hAnsi="Arial"/>
          <w:b/>
          <w:bCs/>
          <w:color w:val="2E75B6"/>
          <w:sz w:val="26"/>
          <w:szCs w:val="26"/>
        </w:rPr>
        <w:t xml:space="preserve">2.1 Portfolio core  (anchor domain)</w:t>
      </w:r>
    </w:p>
    <w:p>
      <w:pPr>
        <w:spacing w:after="100" w:before="60"/>
      </w:pPr>
      <w:r>
        <w:rPr>
          <w:rFonts w:ascii="Arial" w:cs="Arial" w:eastAsia="Arial" w:hAnsi="Arial"/>
          <w:b w:val="false"/>
          <w:bCs w:val="false"/>
          <w:i w:val="false"/>
          <w:iCs w:val="false"/>
          <w:color w:val="1F1F1F"/>
          <w:sz w:val="22"/>
          <w:szCs w:val="22"/>
        </w:rPr>
        <w:t xml:space="preserve">This is the starting point for every row. All other domains attach to the portfolio as additional context.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key</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type</w:t>
            </w:r>
          </w:p>
        </w:tc>
        <w:tc>
          <w:tcPr>
            <w:tcW w:type="dxa" w:w="34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tempPortfolioDetails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PortfolioEntryID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Anchor</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One row per contract. Provides mandate type, fee group, inception and maturity dates, and reference number.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tempPortfolioValues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PortfolioEntryID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INNER JOIN</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actual monthly valuation rows. Only in-force, managed, market-value records are included. Non-zero investment amounts only (or risk/other product types).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tempPortfolioAssetSplit_Test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RootPortfolioEntryID + YearMonth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Defines how a portfolio is split across multiple advisers. The split percentage is applied to the market value to assign the correct share to each adviser.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Data filter applied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Only the most recent 5 years of data are included (based on YearMonth).</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Records must be: Status = In-Force, Managed = Yes, Value type = Market Value.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Investment products must have a non-zero, non-null market value.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Risk, medical aid, short-term insurance, and other products are always included regardless of value.</w:t>
            </w:r>
          </w:p>
        </w:tc>
      </w:tr>
    </w:tbl>
    <w:p>
      <w:pPr>
        <w:spacing w:after="80" w:before="80"/>
      </w:pPr>
    </w:p>
    <w:p>
      <w:pPr>
        <w:pStyle w:val="Heading2"/>
        <w:spacing w:after="120" w:before="280"/>
      </w:pPr>
      <w:r>
        <w:rPr>
          <w:rFonts w:ascii="Arial" w:cs="Arial" w:eastAsia="Arial" w:hAnsi="Arial"/>
          <w:b/>
          <w:bCs/>
          <w:color w:val="2E75B6"/>
          <w:sz w:val="26"/>
          <w:szCs w:val="26"/>
        </w:rPr>
        <w:t xml:space="preserve">2.2 Adviser / staff</w:t>
      </w:r>
    </w:p>
    <w:p>
      <w:pPr>
        <w:spacing w:after="100" w:before="60"/>
      </w:pPr>
      <w:r>
        <w:rPr>
          <w:rFonts w:ascii="Arial" w:cs="Arial" w:eastAsia="Arial" w:hAnsi="Arial"/>
          <w:b w:val="false"/>
          <w:bCs w:val="false"/>
          <w:i w:val="false"/>
          <w:iCs w:val="false"/>
          <w:color w:val="1F1F1F"/>
          <w:sz w:val="22"/>
          <w:szCs w:val="22"/>
        </w:rPr>
        <w:t xml:space="preserve">Identifies which adviser is responsible for each portfolio, and what share of it they own.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key</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type</w:t>
            </w:r>
          </w:p>
        </w:tc>
        <w:tc>
          <w:tcPr>
            <w:tcW w:type="dxa" w:w="34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tempStaffDetails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BrokerEntityID = EntityID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Adviser name, F-number (staff identifier), brand, and office.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tempClientStaffRelationNew</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BrokerEntityID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Resolves the adviser's role (e.g. Financial Adviser). Filtered to broker roles only. Grouped to prevent duplicate rows.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SalesPerson (Investment_Analytics)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BrokerEntityID (as varchar)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Maps the adviser to a report region. If no region is found, the value defaults to x-unallocated.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7000" w:val="clear"/>
            <w:tcMar>
              <w:top w:type="dxa" w:w="100"/>
              <w:left w:type="dxa" w:w="140"/>
              <w:bottom w:type="dxa" w:w="100"/>
              <w:right w:type="dxa" w:w="140"/>
            </w:tcMar>
          </w:tcPr>
          <w:p>
            <w:r>
              <w:rPr>
                <w:rFonts w:ascii="Arial" w:cs="Arial" w:eastAsia="Arial" w:hAnsi="Arial"/>
                <w:b/>
                <w:bCs/>
                <w:color w:val="FFFFFF"/>
                <w:sz w:val="20"/>
                <w:szCs w:val="20"/>
              </w:rPr>
              <w:t xml:space="preserve">Note: Channel field is currently blank</w:t>
            </w:r>
          </w:p>
        </w:tc>
      </w:tr>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1F1F1F"/>
                <w:sz w:val="20"/>
                <w:szCs w:val="20"/>
              </w:rPr>
              <w:t xml:space="preserve">The Channel column is populated as an empty string in this version.</w:t>
            </w:r>
          </w:p>
        </w:tc>
      </w:tr>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1F1F1F"/>
                <w:sz w:val="20"/>
                <w:szCs w:val="20"/>
              </w:rPr>
              <w:t xml:space="preserve">The previous data source (Umbrella system) was decommissioned in February 2025.</w:t>
            </w:r>
          </w:p>
        </w:tc>
      </w:tr>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1F1F1F"/>
                <w:sz w:val="20"/>
                <w:szCs w:val="20"/>
              </w:rPr>
              <w:t xml:space="preserve">A replacement channel source has not yet been connected.</w:t>
            </w:r>
          </w:p>
        </w:tc>
      </w:tr>
    </w:tbl>
    <w:p>
      <w:pPr>
        <w:spacing w:after="80" w:before="80"/>
      </w:pPr>
    </w:p>
    <w:p>
      <w:pPr>
        <w:pStyle w:val="Heading2"/>
        <w:spacing w:after="120" w:before="280"/>
      </w:pPr>
      <w:r>
        <w:rPr>
          <w:rFonts w:ascii="Arial" w:cs="Arial" w:eastAsia="Arial" w:hAnsi="Arial"/>
          <w:b/>
          <w:bCs/>
          <w:color w:val="2E75B6"/>
          <w:sz w:val="26"/>
          <w:szCs w:val="26"/>
        </w:rPr>
        <w:t xml:space="preserve">2.3 Client / entity</w:t>
      </w:r>
    </w:p>
    <w:p>
      <w:pPr>
        <w:spacing w:after="100" w:before="60"/>
      </w:pPr>
      <w:r>
        <w:rPr>
          <w:rFonts w:ascii="Arial" w:cs="Arial" w:eastAsia="Arial" w:hAnsi="Arial"/>
          <w:b w:val="false"/>
          <w:bCs w:val="false"/>
          <w:i w:val="false"/>
          <w:iCs w:val="false"/>
          <w:color w:val="1F1F1F"/>
          <w:sz w:val="22"/>
          <w:szCs w:val="22"/>
        </w:rPr>
        <w:t xml:space="preserve">Identifies the client who owns the portfolio.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key</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type</w:t>
            </w:r>
          </w:p>
        </w:tc>
        <w:tc>
          <w:tcPr>
            <w:tcW w:type="dxa" w:w="34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tempEntityDetails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EntityID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INNER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Client name, UCN, ID or registration number, entity type (individual vs company), country, brand, and office. FNB Trust Services clients are excluded.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vCoManager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EntityID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Up to two co-managers assigned to the client. Included for transparency but does not affect market value calculations.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ID number logic</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Individual clients (entity type = 6): South African ID number is used if available.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Non-individual entities: Company registration number is used.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F1F1F"/>
                <w:sz w:val="20"/>
                <w:szCs w:val="20"/>
              </w:rPr>
              <w:t xml:space="preserve">Fallback for individuals without a SA ID: Passport number is used.</w:t>
            </w:r>
          </w:p>
        </w:tc>
      </w:tr>
    </w:tbl>
    <w:p>
      <w:pPr>
        <w:spacing w:after="80" w:before="80"/>
      </w:pPr>
    </w:p>
    <w:p>
      <w:pPr>
        <w:pStyle w:val="Heading2"/>
        <w:spacing w:after="120" w:before="280"/>
      </w:pPr>
      <w:r>
        <w:rPr>
          <w:rFonts w:ascii="Arial" w:cs="Arial" w:eastAsia="Arial" w:hAnsi="Arial"/>
          <w:b/>
          <w:bCs/>
          <w:color w:val="2E75B6"/>
          <w:sz w:val="26"/>
          <w:szCs w:val="26"/>
        </w:rPr>
        <w:t xml:space="preserve">2.4 Product and fund</w:t>
      </w:r>
    </w:p>
    <w:p>
      <w:pPr>
        <w:spacing w:after="100" w:before="60"/>
      </w:pPr>
      <w:r>
        <w:rPr>
          <w:rFonts w:ascii="Arial" w:cs="Arial" w:eastAsia="Arial" w:hAnsi="Arial"/>
          <w:b w:val="false"/>
          <w:bCs w:val="false"/>
          <w:i w:val="false"/>
          <w:iCs w:val="false"/>
          <w:color w:val="1F1F1F"/>
          <w:sz w:val="22"/>
          <w:szCs w:val="22"/>
        </w:rPr>
        <w:t xml:space="preserve">Identifies what investment product and underlying fund the portfolio is invested 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key</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type</w:t>
            </w:r>
          </w:p>
        </w:tc>
        <w:tc>
          <w:tcPr>
            <w:tcW w:type="dxa" w:w="34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tempInstrumentDetails (product)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RootInstrumentID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wrapper product — e.g. Retirement Annuity, Tax-Free Savings Account. Provides product type, supplier, and category.</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tempInstrumentDetails (fund)</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InstrumentID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underlying fund held inside the product. Provides ISIN code, JSE code, currency, fund family, and supplier.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InstrumentSupplier (x2)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InstrumentSupplierL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Resolves the country of the product supplier and the fund supplier separately.</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tempCommissionPerMonth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PortfolioEntryID + YearMonth</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commission/pricing percentage applicable to the fund in that month.</w:t>
            </w:r>
          </w:p>
        </w:tc>
      </w:tr>
    </w:tbl>
    <w:p>
      <w:pPr>
        <w:spacing w:after="80" w:before="80"/>
      </w:pPr>
    </w:p>
    <w:p>
      <w:pPr>
        <w:pStyle w:val="Heading2"/>
        <w:spacing w:after="120" w:before="280"/>
      </w:pPr>
      <w:r>
        <w:rPr>
          <w:rFonts w:ascii="Arial" w:cs="Arial" w:eastAsia="Arial" w:hAnsi="Arial"/>
          <w:b/>
          <w:bCs/>
          <w:color w:val="2E75B6"/>
          <w:sz w:val="26"/>
          <w:szCs w:val="26"/>
        </w:rPr>
        <w:t xml:space="preserve">2.5 Classification and analytics overlays</w:t>
      </w:r>
    </w:p>
    <w:p>
      <w:pPr>
        <w:spacing w:after="100" w:before="60"/>
      </w:pPr>
      <w:r>
        <w:rPr>
          <w:rFonts w:ascii="Arial" w:cs="Arial" w:eastAsia="Arial" w:hAnsi="Arial"/>
          <w:b w:val="false"/>
          <w:bCs w:val="false"/>
          <w:i w:val="false"/>
          <w:iCs w:val="false"/>
          <w:color w:val="1F1F1F"/>
          <w:sz w:val="22"/>
          <w:szCs w:val="22"/>
        </w:rPr>
        <w:t xml:space="preserve">These tables add analytical groupings on top of the fund and client data. They do not affect the core market value figures.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key</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Join type</w:t>
            </w:r>
          </w:p>
        </w:tc>
        <w:tc>
          <w:tcPr>
            <w:tcW w:type="dxa" w:w="34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 (Investment_Analytics)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 InstrumentID = SecurityID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Tags each fund with house view status, group vs third-party classification, cash vs solution, master fund name, and local vs offshore designation.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Customer_Monthly_Segmentation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UCN (collation cast)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LEFT JOIN</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Adds the client's banking segment and household key from the WIM FA staging area.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FeeGroupMember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EntityID (OUTER APPLY)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OUTER APPLY</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Attaches the active fee group for the client. One record per client is selected.</w:t>
            </w:r>
          </w:p>
        </w:tc>
      </w:tr>
    </w:tbl>
    <w:p>
      <w:pPr>
        <w:pageBreakBefore/>
      </w:pPr>
    </w:p>
    <w:p>
      <w:pPr>
        <w:pStyle w:val="Heading1"/>
        <w:pBdr>
          <w:bottom w:val="single" w:color="2E75B6" w:sz="6" w:space="6"/>
        </w:pBdr>
        <w:spacing w:after="180" w:before="360"/>
      </w:pPr>
      <w:r>
        <w:rPr>
          <w:rFonts w:ascii="Arial" w:cs="Arial" w:eastAsia="Arial" w:hAnsi="Arial"/>
          <w:b/>
          <w:bCs/>
          <w:color w:val="1F1F1F"/>
          <w:sz w:val="32"/>
          <w:szCs w:val="32"/>
        </w:rPr>
        <w:t xml:space="preserve">3. Output fields — business glossary</w:t>
      </w:r>
    </w:p>
    <w:p>
      <w:pPr>
        <w:spacing w:after="100" w:before="60"/>
      </w:pPr>
      <w:r>
        <w:rPr>
          <w:rFonts w:ascii="Arial" w:cs="Arial" w:eastAsia="Arial" w:hAnsi="Arial"/>
          <w:b w:val="false"/>
          <w:bCs w:val="false"/>
          <w:i w:val="false"/>
          <w:iCs w:val="false"/>
          <w:color w:val="1F1F1F"/>
          <w:sz w:val="22"/>
          <w:szCs w:val="22"/>
        </w:rPr>
        <w:t xml:space="preserve">The table below describes every column produced by this report, where it comes from, and what it means for reporting and analysis.</w:t>
      </w:r>
    </w:p>
    <w:p>
      <w:pPr>
        <w:spacing w:after="80" w:before="80"/>
      </w:pPr>
    </w:p>
    <w:p>
      <w:pPr>
        <w:pStyle w:val="Heading2"/>
        <w:spacing w:after="120" w:before="280"/>
      </w:pPr>
      <w:r>
        <w:rPr>
          <w:rFonts w:ascii="Arial" w:cs="Arial" w:eastAsia="Arial" w:hAnsi="Arial"/>
          <w:b/>
          <w:bCs/>
          <w:color w:val="2E75B6"/>
          <w:sz w:val="26"/>
          <w:szCs w:val="26"/>
        </w:rPr>
        <w:t xml:space="preserve">3.1 Period and adviser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Business 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Period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MarketValue.YearMonth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reporting month in YYYYMM format (e.g. 202503 = March 2025).</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Brand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StaffDetails / ClientDetails.Company</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business brand of the adviser. Falls back to the client brand if adviser brand is unavailable.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Region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SalesPerson.ReportRegion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geographic or business region assigned to the adviser. Defaults to x-unallocated if no mapping exists.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Channel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(empty)</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Currently unpopulated. Was sourced from the Umbrella system, which was decommissioned in February 2025.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Manager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StaffDetails name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Full name of the primary adviser responsible for this portfolio split.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FNumber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StaffDetails.WindowsLogin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adviser's staff F-number, derived from their Windows login. Used as the unique adviser identifier.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StaffRole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tempClientStaffRelationNew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adviser's role classification (e.g. Financial Adviser). Overridden to Financial Adviser for conservation portfolios.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CoManager1 / CoManager2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vCoManager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Names of up to two additional managers associated with the client.</w:t>
            </w:r>
          </w:p>
        </w:tc>
      </w:tr>
    </w:tbl>
    <w:p>
      <w:pPr>
        <w:spacing w:after="80" w:before="80"/>
      </w:pPr>
    </w:p>
    <w:p>
      <w:pPr>
        <w:pStyle w:val="Heading2"/>
        <w:spacing w:after="120" w:before="280"/>
      </w:pPr>
      <w:r>
        <w:rPr>
          <w:rFonts w:ascii="Arial" w:cs="Arial" w:eastAsia="Arial" w:hAnsi="Arial"/>
          <w:b/>
          <w:bCs/>
          <w:color w:val="2E75B6"/>
          <w:sz w:val="26"/>
          <w:szCs w:val="26"/>
        </w:rPr>
        <w:t xml:space="preserve">3.2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Business 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ClientNumber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ClientDetails.UserFriendlyCode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client's human-readable account number as shown in the system.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UCN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ClientDetails.UCN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Universal Client Number — the unique identifier used to link a client across all FNB systems.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ClientDetails.EntityName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full registered name of the client (company name or individual full name).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FirstNames / Surname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Split name fields for individual clients.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EntityType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ClientDetails.EntityType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Whether the client is an individual, company, trust, etc.</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IDOrRegNumber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Derived logic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most appropriate identifier: SA ID number for individuals, registration number for entities, passport as fallback.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CountryOfRegistration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country in which the client is registered or domiciled.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ClientStartDate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ClientDetails.CreatedDate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date the client record was first created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ClientBrand / ClientChannel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ClientDetails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brand and office channel recorded directly on the client record (may differ from adviser brand).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Int_Retail_Model_Desc</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Segmentation table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client's internal retail segmentation model 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Main_Banked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Segmentation table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Indicates whether this is the client's primary banking relationship.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Household_Key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Segmentation table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Links the client to their household group for consolidated reporting.</w:t>
            </w:r>
          </w:p>
        </w:tc>
      </w:tr>
    </w:tbl>
    <w:p>
      <w:pPr>
        <w:spacing w:after="80" w:before="80"/>
      </w:pPr>
    </w:p>
    <w:p>
      <w:pPr>
        <w:pStyle w:val="Heading2"/>
        <w:spacing w:after="120" w:before="280"/>
      </w:pPr>
      <w:r>
        <w:rPr>
          <w:rFonts w:ascii="Arial" w:cs="Arial" w:eastAsia="Arial" w:hAnsi="Arial"/>
          <w:b/>
          <w:bCs/>
          <w:color w:val="2E75B6"/>
          <w:sz w:val="26"/>
          <w:szCs w:val="26"/>
        </w:rPr>
        <w:t xml:space="preserve">3.3 Product and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Business 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ContractNumber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PortfolioDetails.ReferenceNumber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contract or policy number as shown on client-facing documents.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ProductType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Product.InstrumentType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broad category of the product (e.g. Investment, Risk, Medical aid, Short term insurance).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ProductSupplier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Product.InstrumentSupplier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company that provides the product wrapper (e.g. FNB Life, Momentum).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ProductSupplierCountry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InstrumentSupplier table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country of the product provider.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ProductName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Product.InstrumentName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full name of the product (e.g. FNB Retirement Annuity).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FeeMandate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PortfolioDetails.FeeMandate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specific fee mandate name assigned to this portfolio.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FeeMandateGroup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Derived logic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A simplified grouping of fee mandates: Cash, Discretionary, Broker Appointment, or x-unallocated.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Mandate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PortfolioDetails.InvestmentMandate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investment mandate type.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InceptionDate / MaturityDate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PortfolioDetails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start and end dates of the contract.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InitialContributionAmount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PortfolioDetails</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initial lump sum or contribution amount at policy inception.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Split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PortfolioAssetSplit.SplitPercentage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percentage of this portfolio attributed to the listed adviser (0–100).</w:t>
            </w:r>
          </w:p>
        </w:tc>
      </w:tr>
    </w:tbl>
    <w:p>
      <w:pPr>
        <w:spacing w:after="80" w:before="80"/>
      </w:pPr>
    </w:p>
    <w:p>
      <w:pPr>
        <w:pStyle w:val="Heading2"/>
        <w:spacing w:after="120" w:before="280"/>
      </w:pPr>
      <w:r>
        <w:rPr>
          <w:rFonts w:ascii="Arial" w:cs="Arial" w:eastAsia="Arial" w:hAnsi="Arial"/>
          <w:b/>
          <w:bCs/>
          <w:color w:val="2E75B6"/>
          <w:sz w:val="26"/>
          <w:szCs w:val="26"/>
        </w:rPr>
        <w:t xml:space="preserve">3.4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Business 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FundName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Fund.InstrumentName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full name of the underlying fund (e.g. Allan Gray Balanced Fund).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FundFamily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Fund.InstrumentFamily</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fund family or range (e.g. Allan Gray). Falls back to fund name if no family is defined.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FundSupplier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Fund.InstrumentSupplier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asset manager or fund house.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FundSupplierCountry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InstrumentSupplier table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country of the fund manager.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ISIN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Fund.ISINCode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International Securities Identification Number — the global unique fund identifier.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JSECode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Fund.JSECode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Johannesburg Stock Exchange ticker code, where applicable.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FundCurrency / FundBaseCurrency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Fund.BaseCurrency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currency in which the fund is denominated.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FundRegion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Derived from BaseCurrency</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Domestic if the fund currency is ZAR; Non Domestic for all other currencies.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HouseView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Security.IsHouseview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Whether the fund is part of the group's recommended house view portfolio (HV, Non HV, or x-unallocated).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GroupOrThirdParty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Security.GroupOr3rdParty</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Whether the fund is managed by the group internally or by a third-party asset manager.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CashOrSolution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Security.CashOrSolution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Whether the fund is classified as a cash instrument or a solution fund.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MasterFundName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Security.SecurityGroupName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name of the master fund or fund-of-funds umbrella this fund belongs 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HouseViewGroup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Security.HVvsNonHVvsTerminalvsLegacy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A more granular house view classification including legacy and terminal fund status.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LocalvsOffshore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Security.LocalvsOffshore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Whether the fund is locally or offshore domiciled.</w:t>
            </w:r>
          </w:p>
        </w:tc>
      </w:tr>
    </w:tbl>
    <w:p>
      <w:pPr>
        <w:spacing w:after="80" w:before="80"/>
      </w:pPr>
    </w:p>
    <w:p>
      <w:pPr>
        <w:pStyle w:val="Heading2"/>
        <w:spacing w:after="120" w:before="280"/>
      </w:pPr>
      <w:r>
        <w:rPr>
          <w:rFonts w:ascii="Arial" w:cs="Arial" w:eastAsia="Arial" w:hAnsi="Arial"/>
          <w:b/>
          <w:bCs/>
          <w:color w:val="2E75B6"/>
          <w:sz w:val="26"/>
          <w:szCs w:val="26"/>
        </w:rPr>
        <w:t xml:space="preserve">3.5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Business 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ValueDate / DateApplicable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MarketValue.DateApplicable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actual date on which the market value was recorded.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MarketValue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Calculated</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fund market value in ZAR, adjusted for the adviser split percentage. Zero for non-investment products.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MarketValueOriginalCurrency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Calculated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market value converted back to the fund's original currency (MarketValue x ExchangeRate).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ExchangeRate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MarketValue.ExchangeRate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exchange rate used to convert the fund value to ZAR. Zero for non-investment products.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Pricing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FundPrice.FundCommissionPercentage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commission rate applicable to the fund for the reporting month.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FeeGroupID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FeeGroupMember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identifier of the fee group the client belongs to, if any.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FeeGroupMemberStartDate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FeeGroupMember.CreatedDate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date the client was added to their fee group.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PortfolioCreatedDate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2E75B6"/>
                <w:sz w:val="18"/>
                <w:szCs w:val="18"/>
              </w:rPr>
              <w:t xml:space="preserve">PortfolioDetails.CreatedDate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date the portfolio record was created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Rundate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GETDATE()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date and time the procedure was last executed and this row was written.</w:t>
            </w:r>
          </w:p>
        </w:tc>
      </w:tr>
    </w:tbl>
    <w:p>
      <w:pPr>
        <w:pageBreakBefore/>
      </w:pPr>
    </w:p>
    <w:p>
      <w:pPr>
        <w:pStyle w:val="Heading1"/>
        <w:pBdr>
          <w:bottom w:val="single" w:color="2E75B6" w:sz="6" w:space="6"/>
        </w:pBdr>
        <w:spacing w:after="180" w:before="360"/>
      </w:pPr>
      <w:r>
        <w:rPr>
          <w:rFonts w:ascii="Arial" w:cs="Arial" w:eastAsia="Arial" w:hAnsi="Arial"/>
          <w:b/>
          <w:bCs/>
          <w:color w:val="1F1F1F"/>
          <w:sz w:val="32"/>
          <w:szCs w:val="32"/>
        </w:rPr>
        <w:t xml:space="preserve">4. Known issues and recommendations</w:t>
      </w:r>
    </w:p>
    <w:p>
      <w:pPr>
        <w:spacing w:after="100" w:before="60"/>
      </w:pPr>
      <w:r>
        <w:rPr>
          <w:rFonts w:ascii="Arial" w:cs="Arial" w:eastAsia="Arial" w:hAnsi="Arial"/>
          <w:b w:val="false"/>
          <w:bCs w:val="false"/>
          <w:i w:val="false"/>
          <w:iCs w:val="false"/>
          <w:color w:val="1F1F1F"/>
          <w:sz w:val="22"/>
          <w:szCs w:val="22"/>
        </w:rPr>
        <w:t xml:space="preserve">The following items have been identified during review. They do not prevent the report from running but may affect data quality or reliability in specific scenarios.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Detail and recommendation</w:t>
            </w:r>
          </w:p>
        </w:tc>
      </w:tr>
      <w:tr>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C07000"/>
                <w:sz w:val="18"/>
                <w:szCs w:val="18"/>
              </w:rPr>
              <w:t xml:space="preserve">Risk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1F1F"/>
                <w:sz w:val="20"/>
                <w:szCs w:val="20"/>
              </w:rPr>
              <w:t xml:space="preserve">Segmentation join — potential row duplication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join to Customer_Monthly_Segmentation uses only the client UCN with no filter on the segmentation month. If a client has multiple segment records across different months, the join will produce duplicate rows — inflating record counts and potentially double-counting market values. Recommendation: add a filter on the segmentation year-month to match the portfolio reporting month.</w:t>
            </w:r>
          </w:p>
        </w:tc>
      </w:tr>
      <w:tr>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C07000"/>
                <w:sz w:val="18"/>
                <w:szCs w:val="18"/>
              </w:rPr>
              <w:t xml:space="preserve">Risk</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1F1F"/>
                <w:sz w:val="20"/>
                <w:szCs w:val="20"/>
              </w:rPr>
              <w:t xml:space="preserve">FeeGroupMember — non-deterministic selection</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OUTER APPLY that selects the client's fee group uses TOP 1 without an ORDER BY clause. This means the database engine can return any matching row — results may vary between runs. Recommendation: add ORDER BY CreatedDate DESC to consistently return the most recent active fee group.</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595959"/>
                <w:sz w:val="18"/>
                <w:szCs w:val="18"/>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1F1F"/>
                <w:sz w:val="20"/>
                <w:szCs w:val="20"/>
              </w:rPr>
              <w:t xml:space="preserve">Channel field is always empty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Channel column outputs an empty string because the source system (Umbrella) was decommissioned in February 2025. The column is retained in the output schema but carries no useful data. Recommendation: identify a replacement data source or remove the column from output until one is available.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595959"/>
                <w:sz w:val="18"/>
                <w:szCs w:val="18"/>
              </w:rPr>
              <w:t xml:space="preserve">Open</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1F1F"/>
                <w:sz w:val="20"/>
                <w:szCs w:val="20"/>
              </w:rPr>
              <w:t xml:space="preserve">Region fallback coverage</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report region is now sourced from the SalesPerson table in Investment_Analytics rather than the previous fnChannelToRegion function. Any advisers not present in the SalesPerson table will show x-unallocated as their region. Recommendation: confirm coverage and identify gaps.</w:t>
            </w:r>
          </w:p>
        </w:tc>
      </w:tr>
      <w:tr>
        <w:tc>
          <w:tcPr>
            <w:tcW w:type="dxa" w:w="1200"/>
            <w:tcBorders>
              <w:top w:val="single" w:color="CCCCCC" w:sz="1"/>
              <w:left w:val="single" w:color="CCCCCC" w:sz="1"/>
              <w:bottom w:val="single" w:color="CCCCCC" w:sz="1"/>
              <w:right w:val="single" w:color="CCCCCC" w:sz="1"/>
            </w:tcBorders>
            <w:shd w:fill="D6F0E2" w:val="clear"/>
            <w:tcMar>
              <w:top w:type="dxa" w:w="100"/>
              <w:left w:type="dxa" w:w="140"/>
              <w:bottom w:type="dxa" w:w="100"/>
              <w:right w:type="dxa" w:w="140"/>
            </w:tcMar>
          </w:tcPr>
          <w:p>
            <w:pPr>
              <w:jc w:val="center"/>
            </w:pPr>
            <w:r>
              <w:rPr>
                <w:rFonts w:ascii="Arial" w:cs="Arial" w:eastAsia="Arial" w:hAnsi="Arial"/>
                <w:b/>
                <w:bCs/>
                <w:color w:val="1D6B3E"/>
                <w:sz w:val="18"/>
                <w:szCs w:val="18"/>
              </w:rPr>
              <w:t xml:space="preserve">Stable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1F1F"/>
                <w:sz w:val="20"/>
                <w:szCs w:val="20"/>
              </w:rPr>
              <w:t xml:space="preserve">Umbrella join removed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join to the Umbrella channel system has been fully commented out as of February 2025. No action required.</w:t>
            </w:r>
          </w:p>
        </w:tc>
      </w:tr>
      <w:tr>
        <w:tc>
          <w:tcPr>
            <w:tcW w:type="dxa" w:w="1200"/>
            <w:tcBorders>
              <w:top w:val="single" w:color="CCCCCC" w:sz="1"/>
              <w:left w:val="single" w:color="CCCCCC" w:sz="1"/>
              <w:bottom w:val="single" w:color="CCCCCC" w:sz="1"/>
              <w:right w:val="single" w:color="CCCCCC" w:sz="1"/>
            </w:tcBorders>
            <w:shd w:fill="D6F0E2" w:val="clear"/>
            <w:tcMar>
              <w:top w:type="dxa" w:w="100"/>
              <w:left w:type="dxa" w:w="140"/>
              <w:bottom w:type="dxa" w:w="100"/>
              <w:right w:type="dxa" w:w="140"/>
            </w:tcMar>
          </w:tcPr>
          <w:p>
            <w:pPr>
              <w:jc w:val="center"/>
            </w:pPr>
            <w:r>
              <w:rPr>
                <w:rFonts w:ascii="Arial" w:cs="Arial" w:eastAsia="Arial" w:hAnsi="Arial"/>
                <w:b/>
                <w:bCs/>
                <w:color w:val="1D6B3E"/>
                <w:sz w:val="18"/>
                <w:szCs w:val="18"/>
              </w:rPr>
              <w:t xml:space="preserve">Stable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1F1F"/>
                <w:sz w:val="20"/>
                <w:szCs w:val="20"/>
              </w:rPr>
              <w:t xml:space="preserve">5-year data window</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1F1F"/>
                <w:sz w:val="20"/>
                <w:szCs w:val="20"/>
              </w:rPr>
              <w:t xml:space="preserve">The WHERE clause dynamically limits data to the most recent five years. This is intentional to manage query performance and table size. No action required.</w:t>
            </w:r>
          </w:p>
        </w:tc>
      </w:tr>
      <w:tr>
        <w:tc>
          <w:tcPr>
            <w:tcW w:type="dxa" w:w="1200"/>
            <w:tcBorders>
              <w:top w:val="single" w:color="CCCCCC" w:sz="1"/>
              <w:left w:val="single" w:color="CCCCCC" w:sz="1"/>
              <w:bottom w:val="single" w:color="CCCCCC" w:sz="1"/>
              <w:right w:val="single" w:color="CCCCCC" w:sz="1"/>
            </w:tcBorders>
            <w:shd w:fill="D6F0E2" w:val="clear"/>
            <w:tcMar>
              <w:top w:type="dxa" w:w="100"/>
              <w:left w:type="dxa" w:w="140"/>
              <w:bottom w:type="dxa" w:w="100"/>
              <w:right w:type="dxa" w:w="140"/>
            </w:tcMar>
          </w:tcPr>
          <w:p>
            <w:pPr>
              <w:jc w:val="center"/>
            </w:pPr>
            <w:r>
              <w:rPr>
                <w:rFonts w:ascii="Arial" w:cs="Arial" w:eastAsia="Arial" w:hAnsi="Arial"/>
                <w:b/>
                <w:bCs/>
                <w:color w:val="1D6B3E"/>
                <w:sz w:val="18"/>
                <w:szCs w:val="18"/>
              </w:rPr>
              <w:t xml:space="preserve">Stable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1F1F"/>
                <w:sz w:val="20"/>
                <w:szCs w:val="20"/>
              </w:rPr>
              <w:t xml:space="preserve">Truncate and rebuild pattern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1F1F"/>
                <w:sz w:val="20"/>
                <w:szCs w:val="20"/>
              </w:rPr>
              <w:t xml:space="preserve">The table is truncated and fully rebuilt on each run. The previous temp-table swap logic has been removed. This is the correct approach for this report. No action required.</w:t>
            </w:r>
          </w:p>
        </w:tc>
      </w:tr>
    </w:tbl>
    <w:p>
      <w:pPr>
        <w:spacing w:after="80" w:before="80"/>
      </w:pPr>
    </w:p>
    <w:p>
      <w:pPr>
        <w:pBdr>
          <w:top w:val="single" w:color="CCCCCC" w:sz="4" w:space="6"/>
        </w:pBdr>
        <w:spacing w:before="400"/>
        <w:jc w:val="center"/>
      </w:pPr>
      <w:r>
        <w:rPr>
          <w:rFonts w:ascii="Arial" w:cs="Arial" w:eastAsia="Arial" w:hAnsi="Arial"/>
          <w:i/>
          <w:iCs/>
          <w:color w:val="595959"/>
          <w:sz w:val="18"/>
          <w:szCs w:val="18"/>
        </w:rPr>
        <w:t xml:space="preserve">In memory of Cameron Clarence, 2022 — whose comment lives on in the code.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right"/>
    </w:pPr>
    <w:r>
      <w:rPr>
        <w:rFonts w:ascii="Arial" w:cs="Arial" w:eastAsia="Arial" w:hAnsi="Arial"/>
        <w:color w:val="595959"/>
        <w:sz w:val="18"/>
        <w:szCs w:val="18"/>
      </w:rPr>
      <w:t xml:space="preserve">AUA Fund Level Report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2026-04-21T00:15:13.714Z</dcterms:created>
  <dcterms:modified xsi:type="dcterms:W3CDTF">2026-04-21T00:15:13.714Z</dcterms:modified>
</cp:coreProperties>
</file>

<file path=docProps/custom.xml><?xml version="1.0" encoding="utf-8"?>
<Properties xmlns="http://schemas.openxmlformats.org/officeDocument/2006/custom-properties" xmlns:vt="http://schemas.openxmlformats.org/officeDocument/2006/docPropsVTypes"/>
</file>