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3A6B"/>
          <w:sz w:val="52"/>
          <w:szCs w:val="52"/>
        </w:rPr>
        <w:t xml:space="preserve">SuperStart Mentorship Programme</w:t>
      </w:r>
    </w:p>
    <w:p>
      <w:pPr>
        <w:spacing w:after="80" w:before="0"/>
      </w:pPr>
      <w:r>
        <w:rPr>
          <w:rFonts w:ascii="Arial" w:cs="Arial" w:eastAsia="Arial" w:hAnsi="Arial"/>
          <w:color w:val="555555"/>
          <w:sz w:val="26"/>
          <w:szCs w:val="26"/>
        </w:rPr>
        <w:t xml:space="preserve">Exco Pack — Review Notes</w:t>
      </w:r>
    </w:p>
    <w:p>
      <w:pPr>
        <w:spacing w:after="400" w:before="0"/>
      </w:pPr>
      <w:r>
        <w:rPr>
          <w:rFonts w:ascii="Arial" w:cs="Arial" w:eastAsia="Arial" w:hAnsi="Arial"/>
          <w:i/>
          <w:iCs/>
          <w:color w:val="555555"/>
          <w:sz w:val="20"/>
          <w:szCs w:val="20"/>
        </w:rPr>
        <w:t xml:space="preserve">Hey team. These are my notes on the pack as it stands — what's working, what needs a bit of rethinking, and where I think we can make the story hit harder. I've left the original text below with comments inline. The thought piece at the top is just my overall read — worth a conversation before we make changes.</w:t>
      </w:r>
    </w:p>
    <w:p>
      <w:pPr>
        <w:pBdr>
          <w:bottom w:val="single" w:color="CCCCCC" w:sz="4" w:space="1"/>
        </w:pBdr>
        <w:spacing w:after="160" w:before="160"/>
      </w:pPr>
      <w:r>
        <w:t xml:space="preserve"/>
      </w:r>
    </w:p>
    <w:p>
      <w:pPr>
        <w:spacing w:after="0" w:before="0"/>
      </w:pPr>
      <w:r>
        <w:t xml:space="preserve"/>
      </w:r>
    </w:p>
    <w:p>
      <w:pPr>
        <w:spacing w:after="80" w:before="0"/>
      </w:pPr>
      <w:r>
        <w:rPr>
          <w:rFonts w:ascii="Arial" w:cs="Arial" w:eastAsia="Arial" w:hAnsi="Arial"/>
          <w:b/>
          <w:bCs/>
          <w:color w:val="C0392B"/>
          <w:sz w:val="18"/>
          <w:szCs w:val="18"/>
        </w:rPr>
        <w:t xml:space="preserve">OVERALL THOUGHTS</w:t>
      </w:r>
    </w:p>
    <w:p>
      <w:pPr>
        <w:pStyle w:val="Heading1"/>
      </w:pPr>
      <w:r>
        <w:rPr>
          <w:rFonts w:ascii="Arial" w:cs="Arial" w:eastAsia="Arial" w:hAnsi="Arial"/>
          <w:b/>
          <w:bCs/>
          <w:color w:val="1B3A6B"/>
          <w:sz w:val="34"/>
          <w:szCs w:val="34"/>
        </w:rPr>
        <w:t xml:space="preserve">My Read on the Pack</w:t>
      </w:r>
    </w:p>
    <w:p>
      <w:pPr>
        <w:spacing w:after="80" w:before="60"/>
      </w:pPr>
      <w:r>
        <w:rPr>
          <w:rFonts w:ascii="Arial" w:cs="Arial" w:eastAsia="Arial" w:hAnsi="Arial"/>
          <w:i w:val="false"/>
          <w:iCs w:val="false"/>
          <w:color w:val="111111"/>
          <w:sz w:val="20"/>
          <w:szCs w:val="20"/>
        </w:rPr>
        <w:t xml:space="preserve">Honestly? The content is strong. We've built something real, and a lot of that comes through. But I think the pack isn't quite doing justice to the story we actually have — and I want to make sure it does before this lands in front of Exco.</w:t>
      </w:r>
    </w:p>
    <w:p>
      <w:pPr>
        <w:spacing w:after="80" w:before="60"/>
      </w:pPr>
      <w:r>
        <w:rPr>
          <w:rFonts w:ascii="Arial" w:cs="Arial" w:eastAsia="Arial" w:hAnsi="Arial"/>
          <w:i w:val="false"/>
          <w:iCs w:val="false"/>
          <w:color w:val="111111"/>
          <w:sz w:val="20"/>
          <w:szCs w:val="20"/>
        </w:rPr>
        <w:t xml:space="preserve">The way I see it, our story has a really clear arc. The problem already existed. We were given a brief — not to identify the problem, but to solve it — and we did. What we built actually works, people outside our cohort started asking for it, and we handed it over to the next team without it falling apart. That's genuinely impressive. The pack has all of that in it, but it's scattered across the document in a way that means it never quite builds into the moment it should.</w:t>
      </w:r>
    </w:p>
    <w:p>
      <w:pPr>
        <w:spacing w:after="80" w:before="60"/>
      </w:pPr>
      <w:r>
        <w:rPr>
          <w:rFonts w:ascii="Arial" w:cs="Arial" w:eastAsia="Arial" w:hAnsi="Arial"/>
          <w:i w:val="false"/>
          <w:iCs w:val="false"/>
          <w:color w:val="111111"/>
          <w:sz w:val="20"/>
          <w:szCs w:val="20"/>
        </w:rPr>
        <w:t xml:space="preserve">Here's the arc as I think it needs to land for Exco — including for the people in the room who haven't been following closely: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80"/>
              <w:left w:type="dxa" w:w="180"/>
              <w:bottom w:type="dxa" w:w="20"/>
              <w:right w:type="dxa" w:w="180"/>
            </w:tcMar>
          </w:tcPr>
          <w:p>
            <w:r>
              <w:rPr>
                <w:rFonts w:ascii="Arial" w:cs="Arial" w:eastAsia="Arial" w:hAnsi="Arial"/>
                <w:b/>
                <w:bCs/>
                <w:color w:val="0B2545"/>
                <w:sz w:val="20"/>
                <w:szCs w:val="20"/>
              </w:rPr>
              <w:t xml:space="preserve">The problem was real and systemic — not edge cases.</w:t>
            </w:r>
          </w:p>
        </w:tc>
      </w:tr>
      <w:tr>
        <w:tc>
          <w:tcPr>
            <w:tcW w:type="dxa" w:w="9360"/>
            <w:tcBorders>
              <w:top w:val="none" w:color="FFFFFF" w:sz="0"/>
              <w:left w:val="none" w:color="FFFFFF" w:sz="0"/>
              <w:bottom w:val="none" w:color="FFFFFF" w:sz="0"/>
              <w:right w:val="none" w:color="FFFFFF" w:sz="0"/>
            </w:tcBorders>
            <w:shd w:fill="EBF4FF" w:val="clear"/>
            <w:tcMar>
              <w:top w:type="dxa" w:w="20"/>
              <w:left w:type="dxa" w:w="180"/>
              <w:bottom w:type="dxa" w:w="80"/>
              <w:right w:type="dxa" w:w="180"/>
            </w:tcMar>
          </w:tcPr>
          <w:p>
            <w:r>
              <w:rPr>
                <w:rFonts w:ascii="Arial" w:cs="Arial" w:eastAsia="Arial" w:hAnsi="Arial"/>
                <w:color w:val="0B2545"/>
                <w:sz w:val="19"/>
                <w:szCs w:val="19"/>
              </w:rPr>
              <w:t xml:space="preserve">Some people started their careers at FirstRand well supported. Others struggled — not because of anything they did, but because of which manager or team they landed in. That's an organisational gap, not a personal one. The pack touches this, but I don't think we sit in it long enough for it to really register.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80"/>
              <w:left w:type="dxa" w:w="180"/>
              <w:bottom w:type="dxa" w:w="20"/>
              <w:right w:type="dxa" w:w="180"/>
            </w:tcMar>
          </w:tcPr>
          <w:p>
            <w:r>
              <w:rPr>
                <w:rFonts w:ascii="Arial" w:cs="Arial" w:eastAsia="Arial" w:hAnsi="Arial"/>
                <w:b/>
                <w:bCs/>
                <w:color w:val="0B2545"/>
                <w:sz w:val="20"/>
                <w:szCs w:val="20"/>
              </w:rPr>
              <w:t xml:space="preserve">We were asked to solve it — and we did.</w:t>
            </w:r>
          </w:p>
        </w:tc>
      </w:tr>
      <w:tr>
        <w:tc>
          <w:tcPr>
            <w:tcW w:type="dxa" w:w="9360"/>
            <w:tcBorders>
              <w:top w:val="none" w:color="FFFFFF" w:sz="0"/>
              <w:left w:val="none" w:color="FFFFFF" w:sz="0"/>
              <w:bottom w:val="none" w:color="FFFFFF" w:sz="0"/>
              <w:right w:val="none" w:color="FFFFFF" w:sz="0"/>
            </w:tcBorders>
            <w:shd w:fill="EBF4FF" w:val="clear"/>
            <w:tcMar>
              <w:top w:type="dxa" w:w="20"/>
              <w:left w:type="dxa" w:w="180"/>
              <w:bottom w:type="dxa" w:w="80"/>
              <w:right w:type="dxa" w:w="180"/>
            </w:tcMar>
          </w:tcPr>
          <w:p>
            <w:r>
              <w:rPr>
                <w:rFonts w:ascii="Arial" w:cs="Arial" w:eastAsia="Arial" w:hAnsi="Arial"/>
                <w:color w:val="0B2545"/>
                <w:sz w:val="19"/>
                <w:szCs w:val="19"/>
              </w:rPr>
              <w:t xml:space="preserve">We didn't discover the problem. We were tasked with fixing early-career support, and SuperStart is what we built. That context matters — it shows this wasn't a side project, it was a real brief that produced a real solution. Worth making that clearer.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80"/>
              <w:left w:type="dxa" w:w="180"/>
              <w:bottom w:type="dxa" w:w="20"/>
              <w:right w:type="dxa" w:w="180"/>
            </w:tcMar>
          </w:tcPr>
          <w:p>
            <w:r>
              <w:rPr>
                <w:rFonts w:ascii="Arial" w:cs="Arial" w:eastAsia="Arial" w:hAnsi="Arial"/>
                <w:b/>
                <w:bCs/>
                <w:color w:val="0B2545"/>
                <w:sz w:val="20"/>
                <w:szCs w:val="20"/>
              </w:rPr>
              <w:t xml:space="preserve">It worked — and the proof is organic.</w:t>
            </w:r>
          </w:p>
        </w:tc>
      </w:tr>
      <w:tr>
        <w:tc>
          <w:tcPr>
            <w:tcW w:type="dxa" w:w="9360"/>
            <w:tcBorders>
              <w:top w:val="none" w:color="FFFFFF" w:sz="0"/>
              <w:left w:val="none" w:color="FFFFFF" w:sz="0"/>
              <w:bottom w:val="none" w:color="FFFFFF" w:sz="0"/>
              <w:right w:val="none" w:color="FFFFFF" w:sz="0"/>
            </w:tcBorders>
            <w:shd w:fill="EBF4FF" w:val="clear"/>
            <w:tcMar>
              <w:top w:type="dxa" w:w="20"/>
              <w:left w:type="dxa" w:w="180"/>
              <w:bottom w:type="dxa" w:w="80"/>
              <w:right w:type="dxa" w:w="180"/>
            </w:tcMar>
          </w:tcPr>
          <w:p>
            <w:r>
              <w:rPr>
                <w:rFonts w:ascii="Arial" w:cs="Arial" w:eastAsia="Arial" w:hAnsi="Arial"/>
                <w:color w:val="0B2545"/>
                <w:sz w:val="19"/>
                <w:szCs w:val="19"/>
              </w:rPr>
              <w:t xml:space="preserve">People outside our cohort started asking for it. Mentors started recruiting other mentors. That kind of pull doesn't happen because you marketed something well — it happens because people found genuine value. That's our strongest evidence, and it's currently buried on page 7.</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80"/>
              <w:left w:type="dxa" w:w="180"/>
              <w:bottom w:type="dxa" w:w="20"/>
              <w:right w:type="dxa" w:w="180"/>
            </w:tcMar>
          </w:tcPr>
          <w:p>
            <w:r>
              <w:rPr>
                <w:rFonts w:ascii="Arial" w:cs="Arial" w:eastAsia="Arial" w:hAnsi="Arial"/>
                <w:b/>
                <w:bCs/>
                <w:color w:val="0B2545"/>
                <w:sz w:val="20"/>
                <w:szCs w:val="20"/>
              </w:rPr>
              <w:t xml:space="preserve">It was built to outlast us — and it has.</w:t>
            </w:r>
          </w:p>
        </w:tc>
      </w:tr>
      <w:tr>
        <w:tc>
          <w:tcPr>
            <w:tcW w:type="dxa" w:w="9360"/>
            <w:tcBorders>
              <w:top w:val="none" w:color="FFFFFF" w:sz="0"/>
              <w:left w:val="none" w:color="FFFFFF" w:sz="0"/>
              <w:bottom w:val="none" w:color="FFFFFF" w:sz="0"/>
              <w:right w:val="none" w:color="FFFFFF" w:sz="0"/>
            </w:tcBorders>
            <w:shd w:fill="EBF4FF" w:val="clear"/>
            <w:tcMar>
              <w:top w:type="dxa" w:w="20"/>
              <w:left w:type="dxa" w:w="180"/>
              <w:bottom w:type="dxa" w:w="80"/>
              <w:right w:type="dxa" w:w="180"/>
            </w:tcMar>
          </w:tcPr>
          <w:p>
            <w:r>
              <w:rPr>
                <w:rFonts w:ascii="Arial" w:cs="Arial" w:eastAsia="Arial" w:hAnsi="Arial"/>
                <w:color w:val="0B2545"/>
                <w:sz w:val="19"/>
                <w:szCs w:val="19"/>
              </w:rPr>
              <w:t xml:space="preserve">Two cohort handovers. Workday-embedded. Fully documented. This directly answers the quiet fear any Exco has about a grad-led programme: 'what happens when these guys rotate out?' We've already answered that question in practice. The pack should make that feel like a conclusion, not an afterthought.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80"/>
              <w:left w:type="dxa" w:w="180"/>
              <w:bottom w:type="dxa" w:w="20"/>
              <w:right w:type="dxa" w:w="180"/>
            </w:tcMar>
          </w:tcPr>
          <w:p>
            <w:r>
              <w:rPr>
                <w:rFonts w:ascii="Arial" w:cs="Arial" w:eastAsia="Arial" w:hAnsi="Arial"/>
                <w:b/>
                <w:bCs/>
                <w:color w:val="0B2545"/>
                <w:sz w:val="20"/>
                <w:szCs w:val="20"/>
              </w:rPr>
              <w:t xml:space="preserve">Now it just needs to be made official.</w:t>
            </w:r>
          </w:p>
        </w:tc>
      </w:tr>
      <w:tr>
        <w:tc>
          <w:tcPr>
            <w:tcW w:type="dxa" w:w="9360"/>
            <w:tcBorders>
              <w:top w:val="none" w:color="FFFFFF" w:sz="0"/>
              <w:left w:val="none" w:color="FFFFFF" w:sz="0"/>
              <w:bottom w:val="none" w:color="FFFFFF" w:sz="0"/>
              <w:right w:val="none" w:color="FFFFFF" w:sz="0"/>
            </w:tcBorders>
            <w:shd w:fill="EBF4FF" w:val="clear"/>
            <w:tcMar>
              <w:top w:type="dxa" w:w="20"/>
              <w:left w:type="dxa" w:w="180"/>
              <w:bottom w:type="dxa" w:w="80"/>
              <w:right w:type="dxa" w:w="180"/>
            </w:tcMar>
          </w:tcPr>
          <w:p>
            <w:r>
              <w:rPr>
                <w:rFonts w:ascii="Arial" w:cs="Arial" w:eastAsia="Arial" w:hAnsi="Arial"/>
                <w:color w:val="0B2545"/>
                <w:sz w:val="19"/>
                <w:szCs w:val="19"/>
              </w:rPr>
              <w:t xml:space="preserve">The ask should feel like the natural end of the story — not a separate section stapled on at the end. By the time Exco gets there, they should be thinking 'this is already working, we just haven't formalised it yet.' That's the energy we want.</w:t>
            </w:r>
          </w:p>
        </w:tc>
      </w:tr>
    </w:tbl>
    <w:p>
      <w:pPr>
        <w:spacing w:after="0" w:before="0"/>
      </w:pPr>
      <w:r>
        <w:t xml:space="preserve"/>
      </w:r>
    </w:p>
    <w:p>
      <w:pPr>
        <w:pStyle w:val="Heading2"/>
      </w:pPr>
      <w:r>
        <w:rPr>
          <w:rFonts w:ascii="Arial" w:cs="Arial" w:eastAsia="Arial" w:hAnsi="Arial"/>
          <w:b/>
          <w:bCs/>
          <w:color w:val="1B3A6B"/>
          <w:sz w:val="26"/>
          <w:szCs w:val="26"/>
        </w:rPr>
        <w:t xml:space="preserve">The repetition problem</w:t>
      </w:r>
    </w:p>
    <w:p>
      <w:pPr>
        <w:spacing w:after="80" w:before="60"/>
      </w:pPr>
      <w:r>
        <w:rPr>
          <w:rFonts w:ascii="Arial" w:cs="Arial" w:eastAsia="Arial" w:hAnsi="Arial"/>
          <w:i w:val="false"/>
          <w:iCs w:val="false"/>
          <w:color w:val="111111"/>
          <w:sz w:val="20"/>
          <w:szCs w:val="20"/>
        </w:rPr>
        <w:t xml:space="preserve">We currently have three sections that essentially explain why SuperStart exists — the overview, 'Who It's For', and 'Why SuperStart Was Created'. They don't build on each other, they just say the same thing in slightly different words. That's not just a length issue — when a reader hits the same idea three times, they start to feel like the document doesn't quite know what it wants to say. We need to pick one version and commit to it. My vote is for the version that's most specific — the one that actually describes what it felt like for someone to start at FirstRand without support. That's the one with the most weight.</w:t>
      </w:r>
    </w:p>
    <w:p>
      <w:pPr>
        <w:spacing w:after="0" w:before="0"/>
      </w:pPr>
      <w:r>
        <w:t xml:space="preserve"/>
      </w:r>
    </w:p>
    <w:p>
      <w:pPr>
        <w:pStyle w:val="Heading2"/>
      </w:pPr>
      <w:r>
        <w:rPr>
          <w:rFonts w:ascii="Arial" w:cs="Arial" w:eastAsia="Arial" w:hAnsi="Arial"/>
          <w:b/>
          <w:bCs/>
          <w:color w:val="1B3A6B"/>
          <w:sz w:val="26"/>
          <w:szCs w:val="26"/>
        </w:rPr>
        <w:t xml:space="preserve">The thing that would change everything: a number</w:t>
      </w:r>
    </w:p>
    <w:p>
      <w:pPr>
        <w:spacing w:after="80" w:before="60"/>
      </w:pPr>
      <w:r>
        <w:rPr>
          <w:rFonts w:ascii="Arial" w:cs="Arial" w:eastAsia="Arial" w:hAnsi="Arial"/>
          <w:i w:val="false"/>
          <w:iCs w:val="false"/>
          <w:color w:val="111111"/>
          <w:sz w:val="20"/>
          <w:szCs w:val="20"/>
        </w:rPr>
        <w:t xml:space="preserve">There's no figure anywhere in this document. No pair count, no cohort size, nothing. I get that our data is still developing — but even something like 'across our first cycle, X mentees were matched with Y mentors' gives the whole thing a different kind of credibility. Right now even the strongest parts of our narrative can feel anecdotal to someone who's reading this cold. If we have the numbers, they need to be in here. If we don't have them yet, we should say so and frame the next cycle as the point where we will.</w:t>
      </w:r>
    </w:p>
    <w:p>
      <w:pPr>
        <w:spacing w:after="0" w:before="0"/>
      </w:pPr>
      <w:r>
        <w:t xml:space="preserve"/>
      </w:r>
    </w:p>
    <w:p>
      <w:pPr>
        <w:pStyle w:val="Heading2"/>
      </w:pPr>
      <w:r>
        <w:rPr>
          <w:rFonts w:ascii="Arial" w:cs="Arial" w:eastAsia="Arial" w:hAnsi="Arial"/>
          <w:b/>
          <w:bCs/>
          <w:color w:val="1B3A6B"/>
          <w:sz w:val="26"/>
          <w:szCs w:val="26"/>
        </w:rPr>
        <w:t xml:space="preserve">On the ask</w:t>
      </w:r>
    </w:p>
    <w:p>
      <w:pPr>
        <w:spacing w:after="80" w:before="60"/>
      </w:pPr>
      <w:r>
        <w:rPr>
          <w:rFonts w:ascii="Arial" w:cs="Arial" w:eastAsia="Arial" w:hAnsi="Arial"/>
          <w:i w:val="false"/>
          <w:iCs w:val="false"/>
          <w:color w:val="111111"/>
          <w:sz w:val="20"/>
          <w:szCs w:val="20"/>
        </w:rPr>
        <w:t xml:space="preserve">The four requests are right — I'm not saying we should change what we're asking for. But the way they're written at the moment, they feel like a new section starting rather than the conclusion of everything that came before. Each request should carry the sense of 'this already exists and works — we're asking you to make it official', not 'here's a new thing we'd like to try.' Small shift in framing, but it makes a real difference to how it lands.</w:t>
      </w:r>
    </w:p>
    <w:p>
      <w:pPr>
        <w:pBdr>
          <w:bottom w:val="single" w:color="CCCCCC" w:sz="4" w:space="1"/>
        </w:pBdr>
        <w:spacing w:after="160" w:before="160"/>
      </w:pPr>
      <w:r>
        <w:t xml:space="preserve"/>
      </w:r>
    </w:p>
    <w:p>
      <w:r>
        <w:br w:type="page"/>
      </w:r>
    </w:p>
    <w:p>
      <w:pPr>
        <w:spacing w:after="80" w:before="0"/>
      </w:pPr>
      <w:r>
        <w:rPr>
          <w:rFonts w:ascii="Arial" w:cs="Arial" w:eastAsia="Arial" w:hAnsi="Arial"/>
          <w:b/>
          <w:bCs/>
          <w:color w:val="C0392B"/>
          <w:sz w:val="18"/>
          <w:szCs w:val="18"/>
        </w:rPr>
        <w:t xml:space="preserve">THE PACK — WITH INLINE NOTES</w:t>
      </w:r>
    </w:p>
    <w:p>
      <w:pPr>
        <w:spacing w:after="80" w:before="60"/>
      </w:pPr>
      <w:r>
        <w:rPr>
          <w:rFonts w:ascii="Arial" w:cs="Arial" w:eastAsia="Arial" w:hAnsi="Arial"/>
          <w:i/>
          <w:iCs/>
          <w:color w:val="111111"/>
          <w:sz w:val="20"/>
          <w:szCs w:val="20"/>
        </w:rPr>
        <w:t xml:space="preserve">Original text is unchanged. My comments follow each section in coloured boxes.</w:t>
      </w:r>
    </w:p>
    <w:p>
      <w:pPr>
        <w:pBdr>
          <w:bottom w:val="single" w:color="CCCCCC" w:sz="4" w:space="1"/>
        </w:pBdr>
        <w:spacing w:after="160" w:before="160"/>
      </w:pPr>
      <w:r>
        <w:t xml:space="preserve"/>
      </w:r>
    </w:p>
    <w:p>
      <w:pPr>
        <w:spacing w:after="0" w:before="0"/>
      </w:pPr>
      <w:r>
        <w:t xml:space="preserve"/>
      </w:r>
    </w:p>
    <w:p>
      <w:pPr>
        <w:pStyle w:val="Heading1"/>
      </w:pPr>
      <w:r>
        <w:rPr>
          <w:rFonts w:ascii="Arial" w:cs="Arial" w:eastAsia="Arial" w:hAnsi="Arial"/>
          <w:b/>
          <w:bCs/>
          <w:color w:val="1B3A6B"/>
          <w:sz w:val="34"/>
          <w:szCs w:val="34"/>
        </w:rPr>
        <w:t xml:space="preserve">SuperStart Mentorship Programme</w:t>
      </w:r>
    </w:p>
    <w:p>
      <w:pPr>
        <w:pStyle w:val="Heading2"/>
      </w:pPr>
      <w:r>
        <w:rPr>
          <w:rFonts w:ascii="Arial" w:cs="Arial" w:eastAsia="Arial" w:hAnsi="Arial"/>
          <w:b/>
          <w:bCs/>
          <w:color w:val="1B3A6B"/>
          <w:sz w:val="26"/>
          <w:szCs w:val="26"/>
        </w:rPr>
        <w:t xml:space="preserve">Overview</w:t>
      </w:r>
    </w:p>
    <w:p>
      <w:pPr>
        <w:spacing w:after="80" w:before="60"/>
      </w:pPr>
      <w:r>
        <w:rPr>
          <w:rFonts w:ascii="Arial" w:cs="Arial" w:eastAsia="Arial" w:hAnsi="Arial"/>
          <w:i w:val="false"/>
          <w:iCs w:val="false"/>
          <w:color w:val="111111"/>
          <w:sz w:val="20"/>
          <w:szCs w:val="20"/>
        </w:rPr>
        <w:t xml:space="preserve">SuperStart is FirstRand's early-career mentorship programme, designed to intentionally support and shape the journeys of new and early-in-role employees across the Group. The programme aims to improve the first-job experience by ensuring employees begin their careers with clarity, confidence, and a meaningful connection to both their work and the organisation. Rather than leaving early development to chance or informal support, SuperStart embeds mentorship from the outset, recognising that how people start their careers has a lasting impact on their growth, engagement, and long-term success.</w:t>
      </w:r>
    </w:p>
    <w:p>
      <w:pPr>
        <w:spacing w:after="80" w:before="60"/>
      </w:pPr>
      <w:r>
        <w:rPr>
          <w:rFonts w:ascii="Arial" w:cs="Arial" w:eastAsia="Arial" w:hAnsi="Arial"/>
          <w:i w:val="false"/>
          <w:iCs w:val="false"/>
          <w:color w:val="111111"/>
          <w:sz w:val="20"/>
          <w:szCs w:val="20"/>
        </w:rPr>
        <w:t xml:space="preserve">At its core, SuperStart offers a guided mentorship journey that goes beyond technical performance and day-to-day delivery. The programme takes a holistic approach to early-career development, acknowledging that confidence, self-awareness, emotional intelligence, and a sense of belonging are foundational to sustainable professional growth. Through consistent guidance and reflection, participants build personal and professional confidence, gain greater self-insight, and learn how their behaviour and impact are experienced within the workplace.</w:t>
      </w:r>
    </w:p>
    <w:p>
      <w:pPr>
        <w:spacing w:after="80" w:before="60"/>
      </w:pPr>
      <w:r>
        <w:rPr>
          <w:rFonts w:ascii="Arial" w:cs="Arial" w:eastAsia="Arial" w:hAnsi="Arial"/>
          <w:i w:val="false"/>
          <w:iCs w:val="false"/>
          <w:color w:val="111111"/>
          <w:sz w:val="20"/>
          <w:szCs w:val="20"/>
        </w:rPr>
        <w:t xml:space="preserve">SuperStart also supports early-career employees in navigating the realities of the professional environment—helping demystify organisational norms, expectations, and the informal dynamics that are rarely taught but critical for success. By creating structured opportunities for connection and support, the programme reduces the isolation and uncertainty often experienced by first-jobbers. In doing so, SuperStart positions mentorship not as an optional add-on, but as a foundational part of the early-career experience, reinforcing FirstRand's commitment to intentional development, inclusion, and long-term talent growth.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Opening — we're starting with philosophy when we should start with the problem</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The tone here is warm and the writing is good — but we're opening with three paragraphs of what SuperStart is before we've told anyone why it needed to exist. For someone who knows our programme, this is fine. For someone in that Exco room who's been at arm's length — and there will be a few — we've lost them before the good stuff arrives.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I'd push us to open with the gap. Something like: 'Early career support at FirstRand wasn't consistent. Some new joiners landed in the right team with the right manager and thrived. Others didn't — not because of ability, but because of luck. SuperStart was our answer to that.' Then go into what the programme is.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Also — I think we should be clearer upfront that this was a response to a brief, not something we invented from scratch. We found the solution, the problem was already known. That framing actually makes us look more credible, not less.</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Who SuperStart Is and What It Aims to Achieve</w:t>
      </w:r>
    </w:p>
    <w:p>
      <w:pPr>
        <w:spacing w:after="80" w:before="180"/>
      </w:pPr>
      <w:r>
        <w:rPr>
          <w:rFonts w:ascii="Arial" w:cs="Arial" w:eastAsia="Arial" w:hAnsi="Arial"/>
          <w:b/>
          <w:bCs/>
          <w:color w:val="1B3A6B"/>
          <w:sz w:val="22"/>
          <w:szCs w:val="22"/>
        </w:rPr>
        <w:t xml:space="preserve">Purpose of SuperStart</w:t>
      </w:r>
    </w:p>
    <w:p>
      <w:pPr>
        <w:spacing w:after="80" w:before="60"/>
      </w:pPr>
      <w:r>
        <w:rPr>
          <w:rFonts w:ascii="Arial" w:cs="Arial" w:eastAsia="Arial" w:hAnsi="Arial"/>
          <w:i w:val="false"/>
          <w:iCs w:val="false"/>
          <w:color w:val="111111"/>
          <w:sz w:val="20"/>
          <w:szCs w:val="20"/>
        </w:rPr>
        <w:t xml:space="preserve">SuperStart exists to ensure that every person entering FirstRand—particularly those in their first professional role—begins their career journey feeling supported, grounded, and prepared for the workplace. The programme is intentionally designed to remove early uncertainty and to create a strong foundation for long-term growth from the very start of an employee's career.</w:t>
      </w:r>
    </w:p>
    <w:p>
      <w:pPr>
        <w:spacing w:after="80" w:before="60"/>
      </w:pPr>
      <w:r>
        <w:rPr>
          <w:rFonts w:ascii="Arial" w:cs="Arial" w:eastAsia="Arial" w:hAnsi="Arial"/>
          <w:i w:val="false"/>
          <w:iCs w:val="false"/>
          <w:color w:val="111111"/>
          <w:sz w:val="20"/>
          <w:szCs w:val="20"/>
        </w:rPr>
        <w:t xml:space="preserve">The programme provides consistent support for new and early-in-role employees across the organisation, spanning teams and functions so that access to guidance is not limited by organisational boundaries. By offering a shared mentorship experience, SuperStart reduces reliance on informal, manager-dependent support and helps create a more equitable early-career experience. Participants receive a consistent quality of guidance, regardless of where they sit in the organisation, enabling smoother professional transitions into role expectations, workplace norms, and ways of working.</w:t>
      </w:r>
    </w:p>
    <w:p>
      <w:pPr>
        <w:spacing w:after="80" w:before="60"/>
      </w:pPr>
      <w:r>
        <w:rPr>
          <w:rFonts w:ascii="Arial" w:cs="Arial" w:eastAsia="Arial" w:hAnsi="Arial"/>
          <w:i w:val="false"/>
          <w:iCs w:val="false"/>
          <w:color w:val="111111"/>
          <w:sz w:val="20"/>
          <w:szCs w:val="20"/>
        </w:rPr>
        <w:t xml:space="preserve">Through its structured mentorship approach, SuperStart focuses not only on helping employees succeed in their current roles, but on preparing them for sustainable career success. The programme directly addresses the uncertainty and anxiety commonly experienced by first-jobbers by providing clarity, reassurance, and trusted guidance. As a result, participants build confidence in navigating both role demands and organisational culture, strengthening long-term career readiness, resilience, and self-assurance beyond short-term performance outcomes.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ADADD" w:val="clear"/>
            <w:tcMar>
              <w:top w:type="dxa" w:w="80"/>
              <w:left w:type="dxa" w:w="140"/>
              <w:bottom w:type="dxa" w:w="60"/>
              <w:right w:type="dxa" w:w="140"/>
            </w:tcMar>
          </w:tcPr>
          <w:p>
            <w:r>
              <w:rPr>
                <w:rFonts w:ascii="Arial" w:cs="Arial" w:eastAsia="Arial" w:hAnsi="Arial"/>
                <w:b/>
                <w:bCs/>
                <w:color w:val="6B0000"/>
                <w:sz w:val="18"/>
                <w:szCs w:val="18"/>
              </w:rPr>
              <w:t xml:space="preserve">✂️  CONSOLIDATE — 'Who It's For' — this is saying the same thing as the opening; we need to pick one</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This section and the overview above are covering the same ground. I've read both and I couldn't tell you what this one adds. That's a problem — not because either is badly written, but because hitting the same idea twice signals to a reader that we're not sure which version is the right one.</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My suggestion: cut this section, or fold the one line that's genuinely different into the opening. The line worth keeping is 'access to guidance is not influenced by team, role, or confidence level' — that's the sharpest articulation of the equity argument in the whole document. It should survive the edit. Everything else here doesn't need to.</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Save the space for the evidence section — that's where we need more room.</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Origin of the SuperStart Programme</w:t>
      </w:r>
    </w:p>
    <w:p>
      <w:pPr>
        <w:spacing w:after="80" w:before="60"/>
      </w:pPr>
      <w:r>
        <w:rPr>
          <w:rFonts w:ascii="Arial" w:cs="Arial" w:eastAsia="Arial" w:hAnsi="Arial"/>
          <w:i w:val="false"/>
          <w:iCs w:val="false"/>
          <w:color w:val="111111"/>
          <w:sz w:val="20"/>
          <w:szCs w:val="20"/>
        </w:rPr>
        <w:t xml:space="preserve">The SuperStart programme originated from a simple but important question: 'What if every early career hire had one consistent, structured source of guidance focused on their growth, not just their performance?' This question highlighted a gap in the early career experience and became the foundation for rethinking how new talent is supported at FirstRand.</w:t>
      </w:r>
    </w:p>
    <w:p>
      <w:pPr>
        <w:spacing w:after="80" w:before="60"/>
      </w:pPr>
      <w:r>
        <w:rPr>
          <w:rFonts w:ascii="Arial" w:cs="Arial" w:eastAsia="Arial" w:hAnsi="Arial"/>
          <w:i w:val="false"/>
          <w:iCs w:val="false"/>
          <w:color w:val="111111"/>
          <w:sz w:val="20"/>
          <w:szCs w:val="20"/>
        </w:rPr>
        <w:t xml:space="preserve">Historically, early career experiences across FirstRand varied significantly. Some new joiners benefited from strong mentorship and consistent support, while others struggled—not because of a lack of ability, but because the quality of support depended heavily on individual managers or team cultures. This inconsistency created uneven outcomes and unnecessary uncertainty for employees at the start of their careers.</w:t>
      </w:r>
    </w:p>
    <w:p>
      <w:pPr>
        <w:spacing w:after="80" w:before="60"/>
      </w:pPr>
      <w:r>
        <w:rPr>
          <w:rFonts w:ascii="Arial" w:cs="Arial" w:eastAsia="Arial" w:hAnsi="Arial"/>
          <w:i w:val="false"/>
          <w:iCs w:val="false"/>
          <w:color w:val="111111"/>
          <w:sz w:val="20"/>
          <w:szCs w:val="20"/>
        </w:rPr>
        <w:t xml:space="preserve">In response to this gap, the 2025 Graduate Mentorship Portfolio was tasked with reimagining early career support across the organisation. This work led to the creation of SuperStart as a deliberately designed, scalable mentorship offering.</w:t>
      </w:r>
    </w:p>
    <w:p>
      <w:pPr>
        <w:pStyle w:val="ListParagraph"/>
        <w:numPr>
          <w:ilvl w:val="0"/>
          <w:numId w:val="2"/>
        </w:numPr>
        <w:spacing w:after="40" w:before="40"/>
      </w:pPr>
      <w:r>
        <w:rPr>
          <w:rFonts w:ascii="Arial" w:cs="Arial" w:eastAsia="Arial" w:hAnsi="Arial"/>
          <w:color w:val="111111"/>
          <w:sz w:val="20"/>
          <w:szCs w:val="20"/>
        </w:rPr>
        <w:t xml:space="preserve">Structured development journey combining virtual and in-person touchpoints.</w:t>
      </w:r>
    </w:p>
    <w:p>
      <w:pPr>
        <w:pStyle w:val="ListParagraph"/>
        <w:numPr>
          <w:ilvl w:val="0"/>
          <w:numId w:val="2"/>
        </w:numPr>
        <w:spacing w:after="40" w:before="40"/>
      </w:pPr>
      <w:r>
        <w:rPr>
          <w:rFonts w:ascii="Arial" w:cs="Arial" w:eastAsia="Arial" w:hAnsi="Arial"/>
          <w:color w:val="111111"/>
          <w:sz w:val="20"/>
          <w:szCs w:val="20"/>
        </w:rPr>
        <w:t xml:space="preserve">Growth-focused mentorship model emphasising self-awareness, confidence, and career readiness.</w:t>
      </w:r>
    </w:p>
    <w:p>
      <w:pPr>
        <w:pStyle w:val="ListParagraph"/>
        <w:numPr>
          <w:ilvl w:val="0"/>
          <w:numId w:val="2"/>
        </w:numPr>
        <w:spacing w:after="40" w:before="40"/>
      </w:pPr>
      <w:r>
        <w:rPr>
          <w:rFonts w:ascii="Arial" w:cs="Arial" w:eastAsia="Arial" w:hAnsi="Arial"/>
          <w:color w:val="111111"/>
          <w:sz w:val="20"/>
          <w:szCs w:val="20"/>
        </w:rPr>
        <w:t xml:space="preserve">Peer and near-peer mentoring approach enabling authentic, relatable guidance.</w:t>
      </w:r>
    </w:p>
    <w:p>
      <w:pPr>
        <w:pStyle w:val="ListParagraph"/>
        <w:numPr>
          <w:ilvl w:val="0"/>
          <w:numId w:val="2"/>
        </w:numPr>
        <w:spacing w:after="40" w:before="40"/>
      </w:pPr>
      <w:r>
        <w:rPr>
          <w:rFonts w:ascii="Arial" w:cs="Arial" w:eastAsia="Arial" w:hAnsi="Arial"/>
          <w:color w:val="111111"/>
          <w:sz w:val="20"/>
          <w:szCs w:val="20"/>
        </w:rPr>
        <w:t xml:space="preserve">Scalable group-wide design built to support early-career talent consistently across FirstRand.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Origin — our strongest sentence is in here; it needs to breathe</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'Some struggled — not because of a lack of ability, but because the quality of support depended heavily on individual managers or team cultures.'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That line is doing a lot of work. It names something real and slightly uncomfortable — that outcomes at this organisation have been uneven in a way that isn't about merit. That's worth sitting with. Right now it's sandwiched between softer paragraphs and it passes without landing.</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Can we give it its own moment? Let it be a paragraph on its own, then follow it with a single line about what we were tasked to do about it. That sequence — problem, response — is the cleanest version of our origin story.</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The four bullets at the end repeat what the design principles section covers below. Cut them here, they'll do more work in their proper place.</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Also — small but important: the way this reads, it sounds like the Portfolio 'identified' the gap and then created SuperStart. We were tasked with solving a problem the organisation already knew about. Worth being precise about that. We found the solution, which is still impressive.</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Founding Team and Accountability</w:t>
      </w:r>
    </w:p>
    <w:p>
      <w:pPr>
        <w:spacing w:after="80" w:before="60"/>
      </w:pPr>
      <w:r>
        <w:rPr>
          <w:rFonts w:ascii="Arial" w:cs="Arial" w:eastAsia="Arial" w:hAnsi="Arial"/>
          <w:i w:val="false"/>
          <w:iCs w:val="false"/>
          <w:color w:val="111111"/>
          <w:sz w:val="20"/>
          <w:szCs w:val="20"/>
        </w:rPr>
        <w:t xml:space="preserve">The mentorship initiative was founded and led by members of the 2025 Graduate Programme: Nathan Ngqwebo, Noluthando Buthelezi, Malamba Lavhengwa, and Andiswa Mashimbye, operating under the Graduate Executive Committee's Mentorship Portfolio. The programme was developed with guidance and support from Ntsiki Morrison, Mosa Seloane, and Zaheer Ismail. Over the past year, the founding team designed, implemented, and sustained the programme through their graduate tenure and into their second year, demonstrating continuity of ownership, strong commitment, and a lasting contribution to early-career development and organisational culture.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D0E8FF" w:val="clear"/>
            <w:tcMar>
              <w:top w:type="dxa" w:w="80"/>
              <w:left w:type="dxa" w:w="140"/>
              <w:bottom w:type="dxa" w:w="60"/>
              <w:right w:type="dxa" w:w="140"/>
            </w:tcMar>
          </w:tcPr>
          <w:p>
            <w:r>
              <w:rPr>
                <w:rFonts w:ascii="Arial" w:cs="Arial" w:eastAsia="Arial" w:hAnsi="Arial"/>
                <w:b/>
                <w:bCs/>
                <w:color w:val="0B2545"/>
                <w:sz w:val="18"/>
                <w:szCs w:val="18"/>
              </w:rPr>
              <w:t xml:space="preserve">💡  SUGGESTION — Founding team — don't let this read like a credits page</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We need to name people — absolutely. But right now this paragraph is structured like the end of a film, not like a point in a business case. The names appear, the contributions are listed, and then it moves on.</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What's worth emphasising here is the initiative behind it. We were given a brief, yes — but we took it seriously enough to build something that survived beyond our own tenure. That's the bit Exco needs to register. The sentence that's doing the most work is 'demonstrating continuity of ownership' — but it's at the end, after the reader has already moved on.</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Try flipping it: lead with the continuity and commitment angle, then attribute it to the people who made it happen. Something like: 'SuperStart was designed, built, and handed over by two successive graduate cohorts — a practical demonstration of the ownership and sustainability the programme is built on.' Then name everyone.</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Why SuperStart Was Created</w:t>
      </w:r>
    </w:p>
    <w:p>
      <w:pPr>
        <w:spacing w:after="80" w:before="60"/>
      </w:pPr>
      <w:r>
        <w:rPr>
          <w:rFonts w:ascii="Arial" w:cs="Arial" w:eastAsia="Arial" w:hAnsi="Arial"/>
          <w:i w:val="false"/>
          <w:iCs w:val="false"/>
          <w:color w:val="111111"/>
          <w:sz w:val="20"/>
          <w:szCs w:val="20"/>
        </w:rPr>
        <w:t xml:space="preserve">SuperStart was created in response to a clear gap identified in the early career experience within the First Job Programme at FirstRand. While talent entered the organisation with strong potential, their early experiences were often shaped by inconsistent levels of support and guidance.</w:t>
      </w:r>
    </w:p>
    <w:p>
      <w:pPr>
        <w:pStyle w:val="ListParagraph"/>
        <w:numPr>
          <w:ilvl w:val="0"/>
          <w:numId w:val="2"/>
        </w:numPr>
        <w:spacing w:after="40" w:before="40"/>
      </w:pPr>
      <w:r>
        <w:rPr>
          <w:rFonts w:ascii="Arial" w:cs="Arial" w:eastAsia="Arial" w:hAnsi="Arial"/>
          <w:color w:val="111111"/>
          <w:sz w:val="20"/>
          <w:szCs w:val="20"/>
        </w:rPr>
        <w:t xml:space="preserve">Limited structured support: Many first jobbers entered without access to a consistent or formal support structure.</w:t>
      </w:r>
    </w:p>
    <w:p>
      <w:pPr>
        <w:pStyle w:val="ListParagraph"/>
        <w:numPr>
          <w:ilvl w:val="0"/>
          <w:numId w:val="2"/>
        </w:numPr>
        <w:spacing w:after="40" w:before="40"/>
      </w:pPr>
      <w:r>
        <w:rPr>
          <w:rFonts w:ascii="Arial" w:cs="Arial" w:eastAsia="Arial" w:hAnsi="Arial"/>
          <w:color w:val="111111"/>
          <w:sz w:val="20"/>
          <w:szCs w:val="20"/>
        </w:rPr>
        <w:t xml:space="preserve">Manager-dependent mentorship: Experiences varied widely depending on individual managers or team environments.</w:t>
      </w:r>
    </w:p>
    <w:p>
      <w:pPr>
        <w:pStyle w:val="ListParagraph"/>
        <w:numPr>
          <w:ilvl w:val="0"/>
          <w:numId w:val="2"/>
        </w:numPr>
        <w:spacing w:after="40" w:before="40"/>
      </w:pPr>
      <w:r>
        <w:rPr>
          <w:rFonts w:ascii="Arial" w:cs="Arial" w:eastAsia="Arial" w:hAnsi="Arial"/>
          <w:color w:val="111111"/>
          <w:sz w:val="20"/>
          <w:szCs w:val="20"/>
        </w:rPr>
        <w:t xml:space="preserve">Inconsistent onboarding and development: Early experiences differed across business areas, resulting in unequal exposure and growth opportunities.</w:t>
      </w:r>
    </w:p>
    <w:p>
      <w:pPr>
        <w:spacing w:after="80" w:before="60"/>
      </w:pPr>
      <w:r>
        <w:rPr>
          <w:rFonts w:ascii="Arial" w:cs="Arial" w:eastAsia="Arial" w:hAnsi="Arial"/>
          <w:i w:val="false"/>
          <w:iCs w:val="false"/>
          <w:color w:val="111111"/>
          <w:sz w:val="20"/>
          <w:szCs w:val="20"/>
        </w:rPr>
        <w:t xml:space="preserve">As a result, some early career employees began their time at FirstRand feeling unsupported, unseen, and uncertain — not because of capability, but because of the absence of intentional early career guidance.</w:t>
      </w:r>
    </w:p>
    <w:p>
      <w:pPr>
        <w:spacing w:after="80" w:before="60"/>
      </w:pPr>
      <w:r>
        <w:rPr>
          <w:rFonts w:ascii="Arial" w:cs="Arial" w:eastAsia="Arial" w:hAnsi="Arial"/>
          <w:i w:val="false"/>
          <w:iCs w:val="false"/>
          <w:color w:val="111111"/>
          <w:sz w:val="20"/>
          <w:szCs w:val="20"/>
        </w:rPr>
        <w:t xml:space="preserve">SuperStart was created to directly address these challenges, ensuring that no young professional enters FirstRand without guidance, connection, and clarity.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'Why SuperStart Was Created' — this is the version to keep; it just needs two things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Of the three 'why we exist' sections, this one is the clearest and the most grounded. The three bullets are tight. The line 'not because of capability, but because of the absence of intentional guidance' is genuinely strong — it removes blame from individuals and puts it on the system, which is exactly right.</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Two things it's missing:</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First — scale. How many people are we talking about? Even a rough number of First Job entrants per year gives this section real weight. Without it, 'some early career employees' could mean five people. Give Exco a sense of how big this gap actually is.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Second — consequence. What happens when early career support fails? If there's any data on early attrition, or even a frame like 'the cost of losing someone in their first 18 months is significant', that turns this from a welfare story into a business case. We don't have to be precise, but we need to gesture at the stakes.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Once this section is tightened up, the 'Who It's For' section above can go — it's redundant next to this one.</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Design Principles</w:t>
      </w:r>
    </w:p>
    <w:p>
      <w:pPr>
        <w:spacing w:after="80" w:before="60"/>
      </w:pPr>
      <w:r>
        <w:rPr>
          <w:rFonts w:ascii="Arial" w:cs="Arial" w:eastAsia="Arial" w:hAnsi="Arial"/>
          <w:i w:val="false"/>
          <w:iCs w:val="false"/>
          <w:color w:val="111111"/>
          <w:sz w:val="20"/>
          <w:szCs w:val="20"/>
        </w:rPr>
        <w:t xml:space="preserve">These principles guided every decision made in designing SuperStart and shaped how the programme was built to be fair, scalable, and practical.</w:t>
      </w:r>
    </w:p>
    <w:p>
      <w:pPr>
        <w:pStyle w:val="ListParagraph"/>
        <w:numPr>
          <w:ilvl w:val="0"/>
          <w:numId w:val="2"/>
        </w:numPr>
        <w:spacing w:after="40" w:before="40"/>
      </w:pPr>
      <w:r>
        <w:rPr>
          <w:rFonts w:ascii="Arial" w:cs="Arial" w:eastAsia="Arial" w:hAnsi="Arial"/>
          <w:color w:val="111111"/>
          <w:sz w:val="20"/>
          <w:szCs w:val="20"/>
        </w:rPr>
        <w:t xml:space="preserve">Consistency over ad-hoc support: every participant receives the same level of support, reducing dependency on individual managers.</w:t>
      </w:r>
    </w:p>
    <w:p>
      <w:pPr>
        <w:pStyle w:val="ListParagraph"/>
        <w:numPr>
          <w:ilvl w:val="0"/>
          <w:numId w:val="2"/>
        </w:numPr>
        <w:spacing w:after="40" w:before="40"/>
      </w:pPr>
      <w:r>
        <w:rPr>
          <w:rFonts w:ascii="Arial" w:cs="Arial" w:eastAsia="Arial" w:hAnsi="Arial"/>
          <w:color w:val="111111"/>
          <w:sz w:val="20"/>
          <w:szCs w:val="20"/>
        </w:rPr>
        <w:t xml:space="preserve">Equal access to guidance: access is not influenced by team, role, or confidence level.</w:t>
      </w:r>
    </w:p>
    <w:p>
      <w:pPr>
        <w:pStyle w:val="ListParagraph"/>
        <w:numPr>
          <w:ilvl w:val="0"/>
          <w:numId w:val="2"/>
        </w:numPr>
        <w:spacing w:after="40" w:before="40"/>
      </w:pPr>
      <w:r>
        <w:rPr>
          <w:rFonts w:ascii="Arial" w:cs="Arial" w:eastAsia="Arial" w:hAnsi="Arial"/>
          <w:color w:val="111111"/>
          <w:sz w:val="20"/>
          <w:szCs w:val="20"/>
        </w:rPr>
        <w:t xml:space="preserve">Shared accountability: outcomes are a joint responsibility between mentors and mentees.</w:t>
      </w:r>
    </w:p>
    <w:p>
      <w:pPr>
        <w:pStyle w:val="ListParagraph"/>
        <w:numPr>
          <w:ilvl w:val="0"/>
          <w:numId w:val="2"/>
        </w:numPr>
        <w:spacing w:after="40" w:before="40"/>
      </w:pPr>
      <w:r>
        <w:rPr>
          <w:rFonts w:ascii="Arial" w:cs="Arial" w:eastAsia="Arial" w:hAnsi="Arial"/>
          <w:color w:val="111111"/>
          <w:sz w:val="20"/>
          <w:szCs w:val="20"/>
        </w:rPr>
        <w:t xml:space="preserve">Human-centred, operationally light: focused on real development while remaining easy to run.</w:t>
      </w:r>
    </w:p>
    <w:p>
      <w:pPr>
        <w:pStyle w:val="ListParagraph"/>
        <w:numPr>
          <w:ilvl w:val="0"/>
          <w:numId w:val="2"/>
        </w:numPr>
        <w:spacing w:after="40" w:before="40"/>
      </w:pPr>
      <w:r>
        <w:rPr>
          <w:rFonts w:ascii="Arial" w:cs="Arial" w:eastAsia="Arial" w:hAnsi="Arial"/>
          <w:color w:val="111111"/>
          <w:sz w:val="20"/>
          <w:szCs w:val="20"/>
        </w:rPr>
        <w:t xml:space="preserve">Scalable without losing impact: built to grow across cohorts without becoming diluted.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D0E8FF" w:val="clear"/>
            <w:tcMar>
              <w:top w:type="dxa" w:w="80"/>
              <w:left w:type="dxa" w:w="140"/>
              <w:bottom w:type="dxa" w:w="60"/>
              <w:right w:type="dxa" w:w="140"/>
            </w:tcMar>
          </w:tcPr>
          <w:p>
            <w:r>
              <w:rPr>
                <w:rFonts w:ascii="Arial" w:cs="Arial" w:eastAsia="Arial" w:hAnsi="Arial"/>
                <w:b/>
                <w:bCs/>
                <w:color w:val="0B2545"/>
                <w:sz w:val="18"/>
                <w:szCs w:val="18"/>
              </w:rPr>
              <w:t xml:space="preserve">💡  SUGGESTION — Design principles — link each one to a risk, not just a value</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These principles are us talking to ourselves. Which is fine — they shaped how we built this. But for Exco, principles only land if they can see what risk each one is protecting against.</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We don't need to rewrite the whole section — just add a clause to each bullet that names the 'so what'. For example:</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'Consistency — reduces the manager-lottery risk that currently creates uneven outcomes'</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'Equal access — means your result doesn't depend on which floor you sit on'</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'Operationally light — this doesn't require new headcount or additional admin load'</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Small change, big difference in how it reads to someone who thinks in risk and return.</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What SuperStart Is Today</w:t>
      </w:r>
    </w:p>
    <w:p>
      <w:pPr>
        <w:spacing w:after="80" w:before="60"/>
      </w:pPr>
      <w:r>
        <w:rPr>
          <w:rFonts w:ascii="Arial" w:cs="Arial" w:eastAsia="Arial" w:hAnsi="Arial"/>
          <w:i w:val="false"/>
          <w:iCs w:val="false"/>
          <w:color w:val="111111"/>
          <w:sz w:val="20"/>
          <w:szCs w:val="20"/>
        </w:rPr>
        <w:t xml:space="preserve">SuperStart is a structured, time-bound mentorship programme designed to provide early-career hires with consistent guidance through a defined development journey — helping participants build confidence, capability, and clarity as they move from entry into effective contribution.</w:t>
      </w:r>
    </w:p>
    <w:p>
      <w:pPr>
        <w:pStyle w:val="ListParagraph"/>
        <w:numPr>
          <w:ilvl w:val="0"/>
          <w:numId w:val="2"/>
        </w:numPr>
        <w:spacing w:after="40" w:before="40"/>
      </w:pPr>
      <w:r>
        <w:rPr>
          <w:rFonts w:ascii="Arial" w:cs="Arial" w:eastAsia="Arial" w:hAnsi="Arial"/>
          <w:color w:val="111111"/>
          <w:sz w:val="20"/>
          <w:szCs w:val="20"/>
        </w:rPr>
        <w:t xml:space="preserve">Structured mentorship cycles: clear start, middle, and end — avoids open-ended arrangements.</w:t>
      </w:r>
    </w:p>
    <w:p>
      <w:pPr>
        <w:pStyle w:val="ListParagraph"/>
        <w:numPr>
          <w:ilvl w:val="0"/>
          <w:numId w:val="2"/>
        </w:numPr>
        <w:spacing w:after="40" w:before="40"/>
      </w:pPr>
      <w:r>
        <w:rPr>
          <w:rFonts w:ascii="Arial" w:cs="Arial" w:eastAsia="Arial" w:hAnsi="Arial"/>
          <w:color w:val="111111"/>
          <w:sz w:val="20"/>
          <w:szCs w:val="20"/>
        </w:rPr>
        <w:t xml:space="preserve">Joint mentor–mentee onboarding: both parties aligned on purpose, expectations, and boundaries from day one.</w:t>
      </w:r>
    </w:p>
    <w:p>
      <w:pPr>
        <w:pStyle w:val="ListParagraph"/>
        <w:numPr>
          <w:ilvl w:val="0"/>
          <w:numId w:val="2"/>
        </w:numPr>
        <w:spacing w:after="40" w:before="40"/>
      </w:pPr>
      <w:r>
        <w:rPr>
          <w:rFonts w:ascii="Arial" w:cs="Arial" w:eastAsia="Arial" w:hAnsi="Arial"/>
          <w:color w:val="111111"/>
          <w:sz w:val="20"/>
          <w:szCs w:val="20"/>
        </w:rPr>
        <w:t xml:space="preserve">Guided development themes: each phase centred on specific growth areas — confidence, skill development, career navigation.</w:t>
      </w:r>
    </w:p>
    <w:p>
      <w:pPr>
        <w:pStyle w:val="ListParagraph"/>
        <w:numPr>
          <w:ilvl w:val="0"/>
          <w:numId w:val="2"/>
        </w:numPr>
        <w:spacing w:after="40" w:before="40"/>
      </w:pPr>
      <w:r>
        <w:rPr>
          <w:rFonts w:ascii="Arial" w:cs="Arial" w:eastAsia="Arial" w:hAnsi="Arial"/>
          <w:color w:val="111111"/>
          <w:sz w:val="20"/>
          <w:szCs w:val="20"/>
        </w:rPr>
        <w:t xml:space="preserve">Integrated with talent systems: designed to work alongside existing onboarding and performance processes.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D0E8FF" w:val="clear"/>
            <w:tcMar>
              <w:top w:type="dxa" w:w="80"/>
              <w:left w:type="dxa" w:w="140"/>
              <w:bottom w:type="dxa" w:w="60"/>
              <w:right w:type="dxa" w:w="140"/>
            </w:tcMar>
          </w:tcPr>
          <w:p>
            <w:r>
              <w:rPr>
                <w:rFonts w:ascii="Arial" w:cs="Arial" w:eastAsia="Arial" w:hAnsi="Arial"/>
                <w:b/>
                <w:bCs/>
                <w:color w:val="0B2545"/>
                <w:sz w:val="18"/>
                <w:szCs w:val="18"/>
              </w:rPr>
              <w:t xml:space="preserve">💡  SUGGESTION — 'What SuperStart Is Today' — add the operational proof line upfront</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This section is doing its job but it's missing the one sentence that would make an Exco reader feel the whole thing is real and manageable: a single operational summary.</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Something like: 'One five-month cycle. Under two hours per person per month. Fully tracked in Workday.' Put that at the very top, before the bullets, as an anchor. It tells someone in thirty words that this is structured, low-burden, and institutional. Everything that follows is just the detail behind that.</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The Workday integration is doing a lot of work for us throughout this document — it's the proof that this isn't a spreadsheet-and-WhatsApp operation. Make sure it's showing up early and clearly.</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End-to-End Mentorship Journey</w:t>
      </w:r>
    </w:p>
    <w:p>
      <w:pPr>
        <w:spacing w:after="80" w:before="180"/>
      </w:pPr>
      <w:r>
        <w:rPr>
          <w:rFonts w:ascii="Arial" w:cs="Arial" w:eastAsia="Arial" w:hAnsi="Arial"/>
          <w:b/>
          <w:bCs/>
          <w:color w:val="1B3A6B"/>
          <w:sz w:val="22"/>
          <w:szCs w:val="22"/>
        </w:rPr>
        <w:t xml:space="preserve">How the Programme Works in Practice</w:t>
      </w:r>
    </w:p>
    <w:p>
      <w:pPr>
        <w:pStyle w:val="ListParagraph"/>
        <w:numPr>
          <w:ilvl w:val="0"/>
          <w:numId w:val="2"/>
        </w:numPr>
        <w:spacing w:after="40" w:before="40"/>
      </w:pPr>
      <w:r>
        <w:rPr>
          <w:rFonts w:ascii="Arial" w:cs="Arial" w:eastAsia="Arial" w:hAnsi="Arial"/>
          <w:color w:val="111111"/>
          <w:sz w:val="20"/>
          <w:szCs w:val="20"/>
        </w:rPr>
        <w:t xml:space="preserve">Early mentor sourcing: mentors identified and confirmed ahead of mentee onboarding.</w:t>
      </w:r>
    </w:p>
    <w:p>
      <w:pPr>
        <w:pStyle w:val="ListParagraph"/>
        <w:numPr>
          <w:ilvl w:val="0"/>
          <w:numId w:val="2"/>
        </w:numPr>
        <w:spacing w:after="40" w:before="40"/>
      </w:pPr>
      <w:r>
        <w:rPr>
          <w:rFonts w:ascii="Arial" w:cs="Arial" w:eastAsia="Arial" w:hAnsi="Arial"/>
          <w:color w:val="111111"/>
          <w:sz w:val="20"/>
          <w:szCs w:val="20"/>
        </w:rPr>
        <w:t xml:space="preserve">Formal mentor registration: establishing role clarity, expectations, and commitment.</w:t>
      </w:r>
    </w:p>
    <w:p>
      <w:pPr>
        <w:pStyle w:val="ListParagraph"/>
        <w:numPr>
          <w:ilvl w:val="0"/>
          <w:numId w:val="2"/>
        </w:numPr>
        <w:spacing w:after="40" w:before="40"/>
      </w:pPr>
      <w:r>
        <w:rPr>
          <w:rFonts w:ascii="Arial" w:cs="Arial" w:eastAsia="Arial" w:hAnsi="Arial"/>
          <w:color w:val="111111"/>
          <w:sz w:val="20"/>
          <w:szCs w:val="20"/>
        </w:rPr>
        <w:t xml:space="preserve">Mentor–mentee matching: based on development needs, relevant experience, and availability.</w:t>
      </w:r>
    </w:p>
    <w:p>
      <w:pPr>
        <w:pStyle w:val="ListParagraph"/>
        <w:numPr>
          <w:ilvl w:val="0"/>
          <w:numId w:val="2"/>
        </w:numPr>
        <w:spacing w:after="40" w:before="40"/>
      </w:pPr>
      <w:r>
        <w:rPr>
          <w:rFonts w:ascii="Arial" w:cs="Arial" w:eastAsia="Arial" w:hAnsi="Arial"/>
          <w:color w:val="111111"/>
          <w:sz w:val="20"/>
          <w:szCs w:val="20"/>
        </w:rPr>
        <w:t xml:space="preserve">Joint training and expectation setting: shared understanding of goals, cadence, and responsibilities.</w:t>
      </w:r>
    </w:p>
    <w:p>
      <w:pPr>
        <w:pStyle w:val="ListParagraph"/>
        <w:numPr>
          <w:ilvl w:val="0"/>
          <w:numId w:val="2"/>
        </w:numPr>
        <w:spacing w:after="40" w:before="40"/>
      </w:pPr>
      <w:r>
        <w:rPr>
          <w:rFonts w:ascii="Arial" w:cs="Arial" w:eastAsia="Arial" w:hAnsi="Arial"/>
          <w:color w:val="111111"/>
          <w:sz w:val="20"/>
          <w:szCs w:val="20"/>
        </w:rPr>
        <w:t xml:space="preserve">Structured five-month mentorship cycle: regular check-ins, prompts, and development themes.</w:t>
      </w:r>
    </w:p>
    <w:p>
      <w:pPr>
        <w:pStyle w:val="ListParagraph"/>
        <w:numPr>
          <w:ilvl w:val="0"/>
          <w:numId w:val="2"/>
        </w:numPr>
        <w:spacing w:after="40" w:before="40"/>
      </w:pPr>
      <w:r>
        <w:rPr>
          <w:rFonts w:ascii="Arial" w:cs="Arial" w:eastAsia="Arial" w:hAnsi="Arial"/>
          <w:color w:val="111111"/>
          <w:sz w:val="20"/>
          <w:szCs w:val="20"/>
        </w:rPr>
        <w:t xml:space="preserve">Midpoint and final feedback: formal reflection points for course correction and shared learning.</w:t>
      </w:r>
    </w:p>
    <w:p>
      <w:pPr>
        <w:pStyle w:val="ListParagraph"/>
        <w:numPr>
          <w:ilvl w:val="0"/>
          <w:numId w:val="2"/>
        </w:numPr>
        <w:spacing w:after="40" w:before="40"/>
      </w:pPr>
      <w:r>
        <w:rPr>
          <w:rFonts w:ascii="Arial" w:cs="Arial" w:eastAsia="Arial" w:hAnsi="Arial"/>
          <w:color w:val="111111"/>
          <w:sz w:val="20"/>
          <w:szCs w:val="20"/>
        </w:rPr>
        <w:t xml:space="preserve">Close-out, reporting, and insights: outcomes documented to inform future cohorts.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ADADD" w:val="clear"/>
            <w:tcMar>
              <w:top w:type="dxa" w:w="80"/>
              <w:left w:type="dxa" w:w="140"/>
              <w:bottom w:type="dxa" w:w="60"/>
              <w:right w:type="dxa" w:w="140"/>
            </w:tcMar>
          </w:tcPr>
          <w:p>
            <w:r>
              <w:rPr>
                <w:rFonts w:ascii="Arial" w:cs="Arial" w:eastAsia="Arial" w:hAnsi="Arial"/>
                <w:b/>
                <w:bCs/>
                <w:color w:val="6B0000"/>
                <w:sz w:val="18"/>
                <w:szCs w:val="18"/>
              </w:rPr>
              <w:t xml:space="preserve">✂️  CONSOLIDATE — Journey steps — keep it, but consider whether it earns its place here</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This is important for showing that we have a real operating model, not just a concept. And I think we should keep it. But seven sequential steps in the middle of a narrative pack does slow things down.</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One option: condense this to a single tight paragraph — 'The programme runs as a structured five-month cycle. Mentors are sourced and matched before mentees onboard. Both go through joint training. Midpoint and close-out feedback is mandatory. Everything lives in Workday.' — and move the step-by-step version to an appendix for anyone who wants the detail.</w:t>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
            </w:r>
          </w:p>
        </w:tc>
      </w:tr>
      <w:tr>
        <w:tc>
          <w:tcPr>
            <w:tcW w:type="dxa" w:w="9360"/>
            <w:tcBorders>
              <w:top w:val="none" w:color="FFFFFF" w:sz="0"/>
              <w:left w:val="none" w:color="FFFFFF" w:sz="0"/>
              <w:bottom w:val="none" w:color="FFFFFF" w:sz="0"/>
              <w:right w:val="none" w:color="FFFFFF" w:sz="0"/>
            </w:tcBorders>
            <w:shd w:fill="FFF0F0" w:val="clear"/>
            <w:tcMar>
              <w:top w:type="dxa" w:w="40"/>
              <w:left w:type="dxa" w:w="140"/>
              <w:bottom w:type="dxa" w:w="40"/>
              <w:right w:type="dxa" w:w="140"/>
            </w:tcMar>
          </w:tcPr>
          <w:p>
            <w:r>
              <w:rPr>
                <w:rFonts w:ascii="Arial" w:cs="Arial" w:eastAsia="Arial" w:hAnsi="Arial"/>
                <w:i w:val="false"/>
                <w:iCs w:val="false"/>
                <w:color w:val="6B0000"/>
                <w:sz w:val="19"/>
                <w:szCs w:val="19"/>
              </w:rPr>
              <w:t xml:space="preserve">That way we still show the rigour without interrupting the flow of the story. The appendix reference also signals that there's more behind this than what's on the page — which is a good signal to send.</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Experience &amp; Value Created</w:t>
      </w:r>
    </w:p>
    <w:p>
      <w:pPr>
        <w:spacing w:after="80" w:before="180"/>
      </w:pPr>
      <w:r>
        <w:rPr>
          <w:rFonts w:ascii="Arial" w:cs="Arial" w:eastAsia="Arial" w:hAnsi="Arial"/>
          <w:b/>
          <w:bCs/>
          <w:color w:val="1B3A6B"/>
          <w:sz w:val="22"/>
          <w:szCs w:val="22"/>
        </w:rPr>
        <w:t xml:space="preserve">Who Benefits — and How</w:t>
      </w:r>
    </w:p>
    <w:p>
      <w:pPr>
        <w:spacing w:after="80" w:before="60"/>
      </w:pPr>
      <w:r>
        <w:rPr>
          <w:rFonts w:ascii="Arial" w:cs="Arial" w:eastAsia="Arial" w:hAnsi="Arial"/>
          <w:i w:val="false"/>
          <w:iCs w:val="false"/>
          <w:color w:val="111111"/>
          <w:sz w:val="20"/>
          <w:szCs w:val="20"/>
        </w:rPr>
        <w:t xml:space="preserve">From the mentee perspective:</w:t>
      </w:r>
    </w:p>
    <w:p>
      <w:pPr>
        <w:pStyle w:val="ListParagraph"/>
        <w:numPr>
          <w:ilvl w:val="0"/>
          <w:numId w:val="2"/>
        </w:numPr>
        <w:spacing w:after="40" w:before="40"/>
      </w:pPr>
      <w:r>
        <w:rPr>
          <w:rFonts w:ascii="Arial" w:cs="Arial" w:eastAsia="Arial" w:hAnsi="Arial"/>
          <w:color w:val="111111"/>
          <w:sz w:val="20"/>
          <w:szCs w:val="20"/>
        </w:rPr>
        <w:t xml:space="preserve">Psychological safety: a trusted space to ask questions and make mistakes without judgement.</w:t>
      </w:r>
    </w:p>
    <w:p>
      <w:pPr>
        <w:pStyle w:val="ListParagraph"/>
        <w:numPr>
          <w:ilvl w:val="0"/>
          <w:numId w:val="2"/>
        </w:numPr>
        <w:spacing w:after="40" w:before="40"/>
      </w:pPr>
      <w:r>
        <w:rPr>
          <w:rFonts w:ascii="Arial" w:cs="Arial" w:eastAsia="Arial" w:hAnsi="Arial"/>
          <w:color w:val="111111"/>
          <w:sz w:val="20"/>
          <w:szCs w:val="20"/>
        </w:rPr>
        <w:t xml:space="preserve">Faster confidence building: regular guidance reduces uncertainty and accelerates self-belief.</w:t>
      </w:r>
    </w:p>
    <w:p>
      <w:pPr>
        <w:pStyle w:val="ListParagraph"/>
        <w:numPr>
          <w:ilvl w:val="0"/>
          <w:numId w:val="2"/>
        </w:numPr>
        <w:spacing w:after="40" w:before="40"/>
      </w:pPr>
      <w:r>
        <w:rPr>
          <w:rFonts w:ascii="Arial" w:cs="Arial" w:eastAsia="Arial" w:hAnsi="Arial"/>
          <w:color w:val="111111"/>
          <w:sz w:val="20"/>
          <w:szCs w:val="20"/>
        </w:rPr>
        <w:t xml:space="preserve">Clearer expectations and goals: stronger understanding of role requirements and growth pathways.</w:t>
      </w:r>
    </w:p>
    <w:p>
      <w:pPr>
        <w:pStyle w:val="ListParagraph"/>
        <w:numPr>
          <w:ilvl w:val="0"/>
          <w:numId w:val="2"/>
        </w:numPr>
        <w:spacing w:after="40" w:before="40"/>
      </w:pPr>
      <w:r>
        <w:rPr>
          <w:rFonts w:ascii="Arial" w:cs="Arial" w:eastAsia="Arial" w:hAnsi="Arial"/>
          <w:color w:val="111111"/>
          <w:sz w:val="20"/>
          <w:szCs w:val="20"/>
        </w:rPr>
        <w:t xml:space="preserve">Practical workplace skills: real-world insights that are rarely formally taught but critical for success.</w:t>
      </w:r>
    </w:p>
    <w:p>
      <w:pPr>
        <w:spacing w:after="80" w:before="60"/>
      </w:pPr>
      <w:r>
        <w:rPr>
          <w:rFonts w:ascii="Arial" w:cs="Arial" w:eastAsia="Arial" w:hAnsi="Arial"/>
          <w:i w:val="false"/>
          <w:iCs w:val="false"/>
          <w:color w:val="111111"/>
          <w:sz w:val="20"/>
          <w:szCs w:val="20"/>
        </w:rPr>
        <w:t xml:space="preserve">For mentors:</w:t>
      </w:r>
    </w:p>
    <w:p>
      <w:pPr>
        <w:pStyle w:val="ListParagraph"/>
        <w:numPr>
          <w:ilvl w:val="0"/>
          <w:numId w:val="2"/>
        </w:numPr>
        <w:spacing w:after="40" w:before="40"/>
      </w:pPr>
      <w:r>
        <w:rPr>
          <w:rFonts w:ascii="Arial" w:cs="Arial" w:eastAsia="Arial" w:hAnsi="Arial"/>
          <w:color w:val="111111"/>
          <w:sz w:val="20"/>
          <w:szCs w:val="20"/>
        </w:rPr>
        <w:t xml:space="preserve">Leadership development: coaching, influencing, and people-development capabilities built through practice.</w:t>
      </w:r>
    </w:p>
    <w:p>
      <w:pPr>
        <w:pStyle w:val="ListParagraph"/>
        <w:numPr>
          <w:ilvl w:val="0"/>
          <w:numId w:val="2"/>
        </w:numPr>
        <w:spacing w:after="40" w:before="40"/>
      </w:pPr>
      <w:r>
        <w:rPr>
          <w:rFonts w:ascii="Arial" w:cs="Arial" w:eastAsia="Arial" w:hAnsi="Arial"/>
          <w:color w:val="111111"/>
          <w:sz w:val="20"/>
          <w:szCs w:val="20"/>
        </w:rPr>
        <w:t xml:space="preserve">Coaching and feedback exposure: intentional opportunities to give thoughtful, constructive feedback.</w:t>
      </w:r>
    </w:p>
    <w:p>
      <w:pPr>
        <w:pStyle w:val="ListParagraph"/>
        <w:numPr>
          <w:ilvl w:val="0"/>
          <w:numId w:val="2"/>
        </w:numPr>
        <w:spacing w:after="40" w:before="40"/>
      </w:pPr>
      <w:r>
        <w:rPr>
          <w:rFonts w:ascii="Arial" w:cs="Arial" w:eastAsia="Arial" w:hAnsi="Arial"/>
          <w:color w:val="111111"/>
          <w:sz w:val="20"/>
          <w:szCs w:val="20"/>
        </w:rPr>
        <w:t xml:space="preserve">Sense of purpose and contribution: direct impact on the next generation of talent.</w:t>
      </w:r>
    </w:p>
    <w:p>
      <w:pPr>
        <w:spacing w:after="80" w:before="60"/>
      </w:pPr>
      <w:r>
        <w:rPr>
          <w:rFonts w:ascii="Arial" w:cs="Arial" w:eastAsia="Arial" w:hAnsi="Arial"/>
          <w:i w:val="false"/>
          <w:iCs w:val="false"/>
          <w:color w:val="111111"/>
          <w:sz w:val="20"/>
          <w:szCs w:val="20"/>
        </w:rPr>
        <w:t xml:space="preserve">At an organisational level:</w:t>
      </w:r>
    </w:p>
    <w:p>
      <w:pPr>
        <w:pStyle w:val="ListParagraph"/>
        <w:numPr>
          <w:ilvl w:val="0"/>
          <w:numId w:val="2"/>
        </w:numPr>
        <w:spacing w:after="40" w:before="40"/>
      </w:pPr>
      <w:r>
        <w:rPr>
          <w:rFonts w:ascii="Arial" w:cs="Arial" w:eastAsia="Arial" w:hAnsi="Arial"/>
          <w:color w:val="111111"/>
          <w:sz w:val="20"/>
          <w:szCs w:val="20"/>
        </w:rPr>
        <w:t xml:space="preserve">Smoother early career onboarding: faster ramp-up, reduced risk of early attrition.</w:t>
      </w:r>
    </w:p>
    <w:p>
      <w:pPr>
        <w:pStyle w:val="ListParagraph"/>
        <w:numPr>
          <w:ilvl w:val="0"/>
          <w:numId w:val="2"/>
        </w:numPr>
        <w:spacing w:after="40" w:before="40"/>
      </w:pPr>
      <w:r>
        <w:rPr>
          <w:rFonts w:ascii="Arial" w:cs="Arial" w:eastAsia="Arial" w:hAnsi="Arial"/>
          <w:color w:val="111111"/>
          <w:sz w:val="20"/>
          <w:szCs w:val="20"/>
        </w:rPr>
        <w:t xml:space="preserve">Healthier learning culture: development and shared responsibility as organisational norms.</w:t>
      </w:r>
    </w:p>
    <w:p>
      <w:pPr>
        <w:pStyle w:val="ListParagraph"/>
        <w:numPr>
          <w:ilvl w:val="0"/>
          <w:numId w:val="2"/>
        </w:numPr>
        <w:spacing w:after="40" w:before="40"/>
      </w:pPr>
      <w:r>
        <w:rPr>
          <w:rFonts w:ascii="Arial" w:cs="Arial" w:eastAsia="Arial" w:hAnsi="Arial"/>
          <w:color w:val="111111"/>
          <w:sz w:val="20"/>
          <w:szCs w:val="20"/>
        </w:rPr>
        <w:t xml:space="preserve">Stronger early talent signal: a tangible commitment to growth from day 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Benefits section — flip the order, and add one honest limitation</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The content is solid. Two thoughts: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One — for an Exco audience, the organisational benefits should come first. Right now mentees lead, then mentors, then the organisation. But the people in that room are going to make a decision based on what it does for FirstRand, not what it does for individual participants. Flip it. Lead with what this means for the organisation, then show the human value underneath.</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Two — we should add at least one honest limitation somewhere in this section. Something like 'This doesn't replace line-manager accountability — it supplements it.' Or 'Mentor availability is the main constraint as we scale.' A benefits list with no trade-offs reads as promotional. One honest caveat makes everything else more credible. Exco will think of the limitations anyway — better that we name them first.</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Evidence &amp; Signals We Observe</w:t>
      </w:r>
    </w:p>
    <w:p>
      <w:pPr>
        <w:spacing w:after="80" w:before="180"/>
      </w:pPr>
      <w:r>
        <w:rPr>
          <w:rFonts w:ascii="Arial" w:cs="Arial" w:eastAsia="Arial" w:hAnsi="Arial"/>
          <w:b/>
          <w:bCs/>
          <w:color w:val="1B3A6B"/>
          <w:sz w:val="22"/>
          <w:szCs w:val="22"/>
        </w:rPr>
        <w:t xml:space="preserve">Ongoing Mentor Demand</w:t>
      </w:r>
    </w:p>
    <w:p>
      <w:pPr>
        <w:spacing w:after="80" w:before="60"/>
      </w:pPr>
      <w:r>
        <w:rPr>
          <w:rFonts w:ascii="Arial" w:cs="Arial" w:eastAsia="Arial" w:hAnsi="Arial"/>
          <w:i w:val="false"/>
          <w:iCs w:val="false"/>
          <w:color w:val="111111"/>
          <w:sz w:val="20"/>
          <w:szCs w:val="20"/>
        </w:rPr>
        <w:t xml:space="preserve">Growing interest in peer mentorship has extended beyond the formal First Job Programme. First-year employees outside the cohort are actively seeking peer mentorship relationships — indicating that the need SuperStart addresses reflects a broader demand during early corporate transitions.</w:t>
      </w:r>
    </w:p>
    <w:p>
      <w:pPr>
        <w:spacing w:after="80" w:before="60"/>
      </w:pPr>
      <w:r>
        <w:rPr>
          <w:rFonts w:ascii="Arial" w:cs="Arial" w:eastAsia="Arial" w:hAnsi="Arial"/>
          <w:i w:val="false"/>
          <w:iCs w:val="false"/>
          <w:color w:val="111111"/>
          <w:sz w:val="20"/>
          <w:szCs w:val="20"/>
        </w:rPr>
        <w:t xml:space="preserve">Several current SuperStart mentors have proactively referred peers who want to join as mentors. This organic advocacy signals that mentors themselves find genuine value in the experience.</w:t>
      </w:r>
    </w:p>
    <w:p>
      <w:pPr>
        <w:spacing w:after="80" w:before="180"/>
      </w:pPr>
      <w:r>
        <w:rPr>
          <w:rFonts w:ascii="Arial" w:cs="Arial" w:eastAsia="Arial" w:hAnsi="Arial"/>
          <w:b/>
          <w:bCs/>
          <w:color w:val="1B3A6B"/>
          <w:sz w:val="22"/>
          <w:szCs w:val="22"/>
        </w:rPr>
        <w:t xml:space="preserve">Growing Internal Interest</w:t>
      </w:r>
    </w:p>
    <w:p>
      <w:pPr>
        <w:spacing w:after="80" w:before="60"/>
      </w:pPr>
      <w:r>
        <w:rPr>
          <w:rFonts w:ascii="Arial" w:cs="Arial" w:eastAsia="Arial" w:hAnsi="Arial"/>
          <w:i w:val="false"/>
          <w:iCs w:val="false"/>
          <w:color w:val="111111"/>
          <w:sz w:val="20"/>
          <w:szCs w:val="20"/>
        </w:rPr>
        <w:t xml:space="preserve">Engagement conversations have demonstrated strong alignment between SuperStart objectives and the needs observed by programme managers on the ground. Initial discussions with Annemarie Vermeulen have highlighted executive and operational curiosity around how structured peer mentorship can complement line-manager support, improve learner confidence, and strengthen transition readiness.</w:t>
      </w:r>
    </w:p>
    <w:p>
      <w:pPr>
        <w:spacing w:after="80" w:before="180"/>
      </w:pPr>
      <w:r>
        <w:rPr>
          <w:rFonts w:ascii="Arial" w:cs="Arial" w:eastAsia="Arial" w:hAnsi="Arial"/>
          <w:b/>
          <w:bCs/>
          <w:color w:val="1B3A6B"/>
          <w:sz w:val="22"/>
          <w:szCs w:val="22"/>
        </w:rPr>
        <w:t xml:space="preserve">Team Growth &amp; Continuity</w:t>
      </w:r>
    </w:p>
    <w:p>
      <w:pPr>
        <w:spacing w:after="80" w:before="60"/>
      </w:pPr>
      <w:r>
        <w:rPr>
          <w:rFonts w:ascii="Arial" w:cs="Arial" w:eastAsia="Arial" w:hAnsi="Arial"/>
          <w:i w:val="false"/>
          <w:iCs w:val="false"/>
          <w:color w:val="111111"/>
          <w:sz w:val="20"/>
          <w:szCs w:val="20"/>
        </w:rPr>
        <w:t xml:space="preserve">With the arrival of the 2026 graduate cohort, a new Mentorship Portfolio was appointed: Mikael Zandamela, Morris Nkomo, Nadia Abdul Khaliq, and Zubair Hussain. A structured handover with the outgoing team ensured continuity through shared context, lessons learnt, and clarity on programme objectives.</w:t>
      </w:r>
    </w:p>
    <w:p>
      <w:pPr>
        <w:spacing w:after="80" w:before="180"/>
      </w:pPr>
      <w:r>
        <w:rPr>
          <w:rFonts w:ascii="Arial" w:cs="Arial" w:eastAsia="Arial" w:hAnsi="Arial"/>
          <w:b/>
          <w:bCs/>
          <w:color w:val="1B3A6B"/>
          <w:sz w:val="22"/>
          <w:szCs w:val="22"/>
        </w:rPr>
        <w:t xml:space="preserve">Workday Integration</w:t>
      </w:r>
    </w:p>
    <w:p>
      <w:pPr>
        <w:spacing w:after="80" w:before="60"/>
      </w:pPr>
      <w:r>
        <w:rPr>
          <w:rFonts w:ascii="Arial" w:cs="Arial" w:eastAsia="Arial" w:hAnsi="Arial"/>
          <w:i w:val="false"/>
          <w:iCs w:val="false"/>
          <w:color w:val="111111"/>
          <w:sz w:val="20"/>
          <w:szCs w:val="20"/>
        </w:rPr>
        <w:t xml:space="preserve">The programme's full lifecycle is hosted on the FirstRand Workday platform. Mentors register, complete required training, and are onboarded as transitional mentors. Mentees connect with their allocated mentors via the same platform — making the programme accessible and sustainable beyond any single cohort.</w:t>
      </w:r>
    </w:p>
    <w:p>
      <w:pPr>
        <w:spacing w:after="80" w:before="180"/>
      </w:pPr>
      <w:r>
        <w:rPr>
          <w:rFonts w:ascii="Arial" w:cs="Arial" w:eastAsia="Arial" w:hAnsi="Arial"/>
          <w:b/>
          <w:bCs/>
          <w:color w:val="1B3A6B"/>
          <w:sz w:val="22"/>
          <w:szCs w:val="22"/>
        </w:rPr>
        <w:t xml:space="preserve">Active Knowledge Transfer</w:t>
      </w:r>
    </w:p>
    <w:p>
      <w:pPr>
        <w:spacing w:after="80" w:before="60"/>
      </w:pPr>
      <w:r>
        <w:rPr>
          <w:rFonts w:ascii="Arial" w:cs="Arial" w:eastAsia="Arial" w:hAnsi="Arial"/>
          <w:i w:val="false"/>
          <w:iCs w:val="false"/>
          <w:color w:val="111111"/>
          <w:sz w:val="20"/>
          <w:szCs w:val="20"/>
        </w:rPr>
        <w:t xml:space="preserve">The programme's framework, processes, and principles are embedded within Workday — creating a scalable and repeatable model not owned by any single cohort. SuperStart is being built to outlive its founders.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Evidence — this is the best section in the document and it's on page 7</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I really want us to talk about this one. Everything in this section is gold:</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 People outside our cohort are asking for it. That's organic demand.</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 Our own mentors are recruiting other mentors. Nobody asked them to do that.</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 Annemarie Vermeulen is already engaged. Executive interest exists before we've even made the ask.</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 Two successful handovers. Workday-embedded. It didn't die when the first cohort left.</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That's an extraordinary set of signals for a programme at our stage. But a reader who's skimming will never see it because it's on page seven, after the design principles and the journey steps and the benefits list.</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We need a version of this on page two. Not the full detail — just four tight bullets as an 'Evidence at a Glance' box right after we've stated the problem. Let the reader know early that this already works. Then the rest of the pack is just filling in the picture.</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One gap that we genuinely need to address: there's no number in here. Not one. How many pairs have we matched? How many people have completed a full cycle? Even a rough figure changes how this reads entirely. If we have that data, it goes here, front and centre. If we don't, we should say something like 'cycle two data will give us the first comparative picture' — that at least shows we know what we're measuring.</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Why SuperStart Is Ready for Executive Support</w:t>
      </w:r>
    </w:p>
    <w:p>
      <w:pPr>
        <w:spacing w:after="80" w:before="60"/>
      </w:pPr>
      <w:r>
        <w:rPr>
          <w:rFonts w:ascii="Arial" w:cs="Arial" w:eastAsia="Arial" w:hAnsi="Arial"/>
          <w:i w:val="false"/>
          <w:iCs w:val="false"/>
          <w:color w:val="111111"/>
          <w:sz w:val="20"/>
          <w:szCs w:val="20"/>
        </w:rPr>
        <w:t xml:space="preserve">Clear Operating Model: SuperStart operates within a well-defined and repeatable framework spanning initiation, mentor sourcing, matching, and data tracking — with clear timelines, standardised check-ins, and measurable outputs.</w:t>
      </w:r>
    </w:p>
    <w:p>
      <w:pPr>
        <w:spacing w:after="80" w:before="60"/>
      </w:pPr>
      <w:r>
        <w:rPr>
          <w:rFonts w:ascii="Arial" w:cs="Arial" w:eastAsia="Arial" w:hAnsi="Arial"/>
          <w:i w:val="false"/>
          <w:iCs w:val="false"/>
          <w:color w:val="111111"/>
          <w:sz w:val="20"/>
          <w:szCs w:val="20"/>
        </w:rPr>
        <w:t xml:space="preserve">Defined Ownership: well-defined role structure with accountable owners for stakeholder management, communication, data and insights, and relationship management.</w:t>
      </w:r>
    </w:p>
    <w:p>
      <w:pPr>
        <w:spacing w:after="80" w:before="60"/>
      </w:pPr>
      <w:r>
        <w:rPr>
          <w:rFonts w:ascii="Arial" w:cs="Arial" w:eastAsia="Arial" w:hAnsi="Arial"/>
          <w:i w:val="false"/>
          <w:iCs w:val="false"/>
          <w:color w:val="111111"/>
          <w:sz w:val="20"/>
          <w:szCs w:val="20"/>
        </w:rPr>
        <w:t xml:space="preserve">Low Cost, High Human Return: meaningful impact with minimal financial overhead, leveraging internal talent, peer mentorship, and existing Workday tools.</w:t>
      </w:r>
    </w:p>
    <w:p>
      <w:pPr>
        <w:spacing w:after="80" w:before="60"/>
      </w:pPr>
      <w:r>
        <w:rPr>
          <w:rFonts w:ascii="Arial" w:cs="Arial" w:eastAsia="Arial" w:hAnsi="Arial"/>
          <w:i w:val="false"/>
          <w:iCs w:val="false"/>
          <w:color w:val="111111"/>
          <w:sz w:val="20"/>
          <w:szCs w:val="20"/>
        </w:rPr>
        <w:t xml:space="preserve">Alignment with Talent Priorities: directly aligned to early-career and talent pipeline priorities — supporting smoother transitions, stronger retention, and the development of future leaders.</w:t>
      </w:r>
    </w:p>
    <w:p>
      <w:pPr>
        <w:spacing w:after="80" w:before="60"/>
      </w:pPr>
      <w:r>
        <w:rPr>
          <w:rFonts w:ascii="Arial" w:cs="Arial" w:eastAsia="Arial" w:hAnsi="Arial"/>
          <w:i w:val="false"/>
          <w:iCs w:val="false"/>
          <w:color w:val="111111"/>
          <w:sz w:val="20"/>
          <w:szCs w:val="20"/>
        </w:rPr>
        <w:t xml:space="preserve">Proven Ability to Run End-to-End Cycles: SuperStart has demonstrated the capability to design, launch, deliver, evaluate, and iterate full mentorship cycles.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'Why Ready' — genuinely great writing; it's just in the wrong place</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This page is the most Exco-facing writing in the entire document. 'Clear operating model, defined ownership, low cost high return, proven cycle' — that's exactly the language that lands in that room. I really like this section.</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The problem is purely positional. It's on page nine. By then, anyone who didn't already believe in us has already formed a view.</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Even moving two of these points — clear operating model and proven end-to-end cycles — up to the front of the document would change how the rest is read. The reader would move through everything else knowing that we have a track record and a governance model, not wondering whether we do.</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One thing I'd add here: who owns this going forward? Exco will wonder whether endorsing SuperStart just extends a grad project by another year, or whether it creates something that lives in the talent structure permanently. A single line on transition — even 'the programme is designed to sit within [Young Talent / L&amp;D] within the next cycle' — closes that question before it's asked.</w:t>
            </w:r>
          </w:p>
        </w:tc>
      </w:tr>
    </w:tbl>
    <w:p>
      <w:pPr>
        <w:spacing w:after="0" w:before="0"/>
      </w:pPr>
      <w:r>
        <w:t xml:space="preserve"/>
      </w:r>
    </w:p>
    <w:p>
      <w:pPr>
        <w:pBdr>
          <w:bottom w:val="single" w:color="CCCCCC" w:sz="4" w:space="1"/>
        </w:pBdr>
        <w:spacing w:after="160" w:before="160"/>
      </w:pPr>
      <w:r>
        <w:t xml:space="preserve"/>
      </w:r>
    </w:p>
    <w:p>
      <w:pPr>
        <w:pStyle w:val="Heading2"/>
      </w:pPr>
      <w:r>
        <w:rPr>
          <w:rFonts w:ascii="Arial" w:cs="Arial" w:eastAsia="Arial" w:hAnsi="Arial"/>
          <w:b/>
          <w:bCs/>
          <w:color w:val="1B3A6B"/>
          <w:sz w:val="26"/>
          <w:szCs w:val="26"/>
        </w:rPr>
        <w:t xml:space="preserve">The Ask</w:t>
      </w:r>
    </w:p>
    <w:p>
      <w:pPr>
        <w:spacing w:after="80" w:before="60"/>
      </w:pPr>
      <w:r>
        <w:rPr>
          <w:rFonts w:ascii="Arial" w:cs="Arial" w:eastAsia="Arial" w:hAnsi="Arial"/>
          <w:i w:val="false"/>
          <w:iCs w:val="false"/>
          <w:color w:val="111111"/>
          <w:sz w:val="20"/>
          <w:szCs w:val="20"/>
        </w:rPr>
        <w:t xml:space="preserve">SuperStart is requesting focused executive support to enable formal recognition, sustainable growth, and measurable impact within the Bank's early-career talent ecosystem.</w:t>
      </w:r>
    </w:p>
    <w:p>
      <w:pPr>
        <w:spacing w:after="80" w:before="180"/>
      </w:pPr>
      <w:r>
        <w:rPr>
          <w:rFonts w:ascii="Arial" w:cs="Arial" w:eastAsia="Arial" w:hAnsi="Arial"/>
          <w:b/>
          <w:bCs/>
          <w:color w:val="1B3A6B"/>
          <w:sz w:val="22"/>
          <w:szCs w:val="22"/>
        </w:rPr>
        <w:t xml:space="preserve">1. Executive Endorsement</w:t>
      </w:r>
    </w:p>
    <w:p>
      <w:pPr>
        <w:spacing w:after="80" w:before="60"/>
      </w:pPr>
      <w:r>
        <w:rPr>
          <w:rFonts w:ascii="Arial" w:cs="Arial" w:eastAsia="Arial" w:hAnsi="Arial"/>
          <w:i w:val="false"/>
          <w:iCs w:val="false"/>
          <w:color w:val="111111"/>
          <w:sz w:val="20"/>
          <w:szCs w:val="20"/>
        </w:rPr>
        <w:t xml:space="preserve">Formal endorsement from Exco to position SuperStart as the Bank's official peer-mentorship advocate for First Job learners. This removes uncertainty around legitimacy, longevity, and strategic relevance — and signals to managers across the Group that mentor participation is valued and supported.</w:t>
      </w:r>
    </w:p>
    <w:p>
      <w:pPr>
        <w:spacing w:after="80" w:before="180"/>
      </w:pPr>
      <w:r>
        <w:rPr>
          <w:rFonts w:ascii="Arial" w:cs="Arial" w:eastAsia="Arial" w:hAnsi="Arial"/>
          <w:b/>
          <w:bCs/>
          <w:color w:val="1B3A6B"/>
          <w:sz w:val="22"/>
          <w:szCs w:val="22"/>
        </w:rPr>
        <w:t xml:space="preserve">2. Continued Integration into Talent Ecosystems</w:t>
      </w:r>
    </w:p>
    <w:p>
      <w:pPr>
        <w:spacing w:after="80" w:before="60"/>
      </w:pPr>
      <w:r>
        <w:rPr>
          <w:rFonts w:ascii="Arial" w:cs="Arial" w:eastAsia="Arial" w:hAnsi="Arial"/>
          <w:i w:val="false"/>
          <w:iCs w:val="false"/>
          <w:color w:val="111111"/>
          <w:sz w:val="20"/>
          <w:szCs w:val="20"/>
        </w:rPr>
        <w:t xml:space="preserve">Deepened integration into existing talent structures — particularly First Job and all Graduate Programmes within the Group. Specifically: formalise SuperStart's role within the First Job work-readiness model; expand contribution to the FNB Graduate Programme through a structured buddy-mentorship approach.</w:t>
      </w:r>
    </w:p>
    <w:p>
      <w:pPr>
        <w:spacing w:after="80" w:before="180"/>
      </w:pPr>
      <w:r>
        <w:rPr>
          <w:rFonts w:ascii="Arial" w:cs="Arial" w:eastAsia="Arial" w:hAnsi="Arial"/>
          <w:b/>
          <w:bCs/>
          <w:color w:val="1B3A6B"/>
          <w:sz w:val="22"/>
          <w:szCs w:val="22"/>
        </w:rPr>
        <w:t xml:space="preserve">3. Visibility and Executive Sponsorship</w:t>
      </w:r>
    </w:p>
    <w:p>
      <w:pPr>
        <w:spacing w:after="80" w:before="60"/>
      </w:pPr>
      <w:r>
        <w:rPr>
          <w:rFonts w:ascii="Arial" w:cs="Arial" w:eastAsia="Arial" w:hAnsi="Arial"/>
          <w:i w:val="false"/>
          <w:iCs w:val="false"/>
          <w:color w:val="111111"/>
          <w:sz w:val="20"/>
          <w:szCs w:val="20"/>
        </w:rPr>
        <w:t xml:space="preserve">Executive acknowledgement and advocacy where appropriate. Visibility in talent-related communications and forums. Support in positioning SuperStart as a leadership and development opportunity for early-career employees.</w:t>
      </w:r>
    </w:p>
    <w:p>
      <w:pPr>
        <w:spacing w:after="80" w:before="180"/>
      </w:pPr>
      <w:r>
        <w:rPr>
          <w:rFonts w:ascii="Arial" w:cs="Arial" w:eastAsia="Arial" w:hAnsi="Arial"/>
          <w:b/>
          <w:bCs/>
          <w:color w:val="1B3A6B"/>
          <w:sz w:val="22"/>
          <w:szCs w:val="22"/>
        </w:rPr>
        <w:t xml:space="preserve">4. Permission and Support to Scale Mentor Sourcing</w:t>
      </w:r>
    </w:p>
    <w:p>
      <w:pPr>
        <w:spacing w:after="80" w:before="60"/>
      </w:pPr>
      <w:r>
        <w:rPr>
          <w:rFonts w:ascii="Arial" w:cs="Arial" w:eastAsia="Arial" w:hAnsi="Arial"/>
          <w:i w:val="false"/>
          <w:iCs w:val="false"/>
          <w:color w:val="111111"/>
          <w:sz w:val="20"/>
          <w:szCs w:val="20"/>
        </w:rPr>
        <w:t xml:space="preserve">Approval to approach individuals beyond the current Graduate Programme cohort under the banner of SuperStart. Support in positioning mentorship as a recognised developmental opportunity. Alignment with managers to encourage their participation.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FFE08A" w:val="clear"/>
            <w:tcMar>
              <w:top w:type="dxa" w:w="80"/>
              <w:left w:type="dxa" w:w="140"/>
              <w:bottom w:type="dxa" w:w="60"/>
              <w:right w:type="dxa" w:w="140"/>
            </w:tcMar>
          </w:tcPr>
          <w:p>
            <w:r>
              <w:rPr>
                <w:rFonts w:ascii="Arial" w:cs="Arial" w:eastAsia="Arial" w:hAnsi="Arial"/>
                <w:b/>
                <w:bCs/>
                <w:color w:val="5A3A00"/>
                <w:sz w:val="18"/>
                <w:szCs w:val="18"/>
              </w:rPr>
              <w:t xml:space="preserve">✏️  NOTE — The Ask — close the loop on the story before listing the requests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The requests themselves are right. I just think we're missing a short bridge paragraph before the numbered list that brings the story home.</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Something like: 'SuperStart has run, delivered, and handed itself over — twice. It lives in Workday, it's growing without being pushed, and people outside our cohort are already asking for it. What it doesn't yet have is official standing. That's what we're here for today.'</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That changes the energy of everything that follows. The requests stop feeling like asks and start feeling like formalities.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A couple of specific notes on the requests:</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Request 3 (visibility and sponsorship) and Request 1 (endorsement) are very close to the same thing. Endorsement creates visibility. Consider whether we need both as separate line items — consolidating to three clean asks might actually make us easier to say yes to.</w:t>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40"/>
              <w:left w:type="dxa" w:w="140"/>
              <w:bottom w:type="dxa" w:w="40"/>
              <w:right w:type="dxa" w:w="140"/>
            </w:tcMar>
          </w:tcPr>
          <w:p>
            <w:r>
              <w:rPr>
                <w:rFonts w:ascii="Arial" w:cs="Arial" w:eastAsia="Arial" w:hAnsi="Arial"/>
                <w:i w:val="false"/>
                <w:iCs w:val="false"/>
                <w:color w:val="5A3A00"/>
                <w:sz w:val="19"/>
                <w:szCs w:val="19"/>
              </w:rPr>
              <w:t xml:space="preserve">Request 4 (scaling mentor sourcing) is the one that could get pushed back on. Approaching people outside the grad programme sounds bigger than it probably needs to be. Pre-empt it by naming the guardrails right there in the request: opt-in only, manager-aligned, limited to settled employees 12-24 months in role, no cold outreach. Say it first. It makes the ask much easier to approve.</w:t>
            </w:r>
          </w:p>
        </w:tc>
      </w:tr>
    </w:tbl>
    <w:p>
      <w:pPr>
        <w:spacing w:after="0" w:before="0"/>
      </w:pPr>
      <w:r>
        <w:t xml:space="preserve"/>
      </w:r>
    </w:p>
    <w:p>
      <w:pPr>
        <w:spacing w:after="80" w:before="60"/>
      </w:pPr>
      <w:r>
        <w:rPr>
          <w:rFonts w:ascii="Arial" w:cs="Arial" w:eastAsia="Arial" w:hAnsi="Arial"/>
          <w:i/>
          <w:iCs/>
          <w:color w:val="111111"/>
          <w:sz w:val="20"/>
          <w:szCs w:val="20"/>
        </w:rPr>
        <w:t xml:space="preserve">SuperStart is more than a programme. It is a commitment to ensuring no one starts their career feeling unsupported, uncertain, or alone.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none" w:color="FFFFFF" w:sz="0"/>
              <w:left w:val="none" w:color="FFFFFF" w:sz="0"/>
              <w:bottom w:val="none" w:color="FFFFFF" w:sz="0"/>
              <w:right w:val="none" w:color="FFFFFF" w:sz="0"/>
            </w:tcBorders>
            <w:shd w:fill="D0E8FF" w:val="clear"/>
            <w:tcMar>
              <w:top w:type="dxa" w:w="80"/>
              <w:left w:type="dxa" w:w="140"/>
              <w:bottom w:type="dxa" w:w="60"/>
              <w:right w:type="dxa" w:w="140"/>
            </w:tcMar>
          </w:tcPr>
          <w:p>
            <w:r>
              <w:rPr>
                <w:rFonts w:ascii="Arial" w:cs="Arial" w:eastAsia="Arial" w:hAnsi="Arial"/>
                <w:b/>
                <w:bCs/>
                <w:color w:val="0B2545"/>
                <w:sz w:val="18"/>
                <w:szCs w:val="18"/>
              </w:rPr>
              <w:t xml:space="preserve">💡  SUGGESTION — Closing line — keep it; but add the hard question before it</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This line is good. Keep it exactly as is.</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But don't let it be the last thing before the decision. There's a question someone in that room is going to ask, probably out loud: 'Why does Exco need to endorse this? Can't it just sit under L&amp;D?'</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If we don't answer it in the document, it becomes the conversation — and we lose control of the narrative. The answer is simple and true: without Exco endorsement, managers can quietly block mentor participation because there's no signal from the top that it matters. Endorsement doesn't move ownership. It removes a structural barrier that's keeping us small.</w:t>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
            </w:r>
          </w:p>
        </w:tc>
      </w:tr>
      <w:tr>
        <w:tc>
          <w:tcPr>
            <w:tcW w:type="dxa" w:w="9360"/>
            <w:tcBorders>
              <w:top w:val="none" w:color="FFFFFF" w:sz="0"/>
              <w:left w:val="none" w:color="FFFFFF" w:sz="0"/>
              <w:bottom w:val="none" w:color="FFFFFF" w:sz="0"/>
              <w:right w:val="none" w:color="FFFFFF" w:sz="0"/>
            </w:tcBorders>
            <w:shd w:fill="EBF4FF" w:val="clear"/>
            <w:tcMar>
              <w:top w:type="dxa" w:w="40"/>
              <w:left w:type="dxa" w:w="140"/>
              <w:bottom w:type="dxa" w:w="40"/>
              <w:right w:type="dxa" w:w="140"/>
            </w:tcMar>
          </w:tcPr>
          <w:p>
            <w:r>
              <w:rPr>
                <w:rFonts w:ascii="Arial" w:cs="Arial" w:eastAsia="Arial" w:hAnsi="Arial"/>
                <w:i w:val="false"/>
                <w:iCs w:val="false"/>
                <w:color w:val="0B2545"/>
                <w:sz w:val="19"/>
                <w:szCs w:val="19"/>
              </w:rPr>
              <w:t xml:space="preserve">Say that plainly, somewhere before the closing line. Then end on the human note. That sequence — honest answer to the hard question, then the human close — is exactly the right rhythm to finish on.</w:t>
            </w:r>
          </w:p>
        </w:tc>
      </w:tr>
    </w:tbl>
    <w:p>
      <w:pPr>
        <w:spacing w:after="0" w:before="0"/>
      </w:pPr>
      <w:r>
        <w:t xml:space="preserve"/>
      </w:r>
    </w:p>
    <w:p>
      <w:pPr>
        <w:spacing w:after="0" w:before="0"/>
      </w:pPr>
      <w:r>
        <w:t xml:space="preserve"/>
      </w:r>
    </w:p>
    <w:p>
      <w:r>
        <w:rPr>
          <w:rFonts w:ascii="Arial" w:cs="Arial" w:eastAsia="Arial" w:hAnsi="Arial"/>
          <w:i/>
          <w:iCs/>
          <w:color w:val="AAAAAA"/>
          <w:sz w:val="18"/>
          <w:szCs w:val="18"/>
        </w:rPr>
        <w:t xml:space="preserve">End of review notes. Happy to talk through any of this — especially the evidence section and the ask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2026-05-07T22:19:47.862Z</dcterms:created>
  <dcterms:modified xsi:type="dcterms:W3CDTF">2026-05-07T22:19:47.863Z</dcterms:modified>
</cp:coreProperties>
</file>

<file path=docProps/custom.xml><?xml version="1.0" encoding="utf-8"?>
<Properties xmlns="http://schemas.openxmlformats.org/officeDocument/2006/custom-properties" xmlns:vt="http://schemas.openxmlformats.org/officeDocument/2006/docPropsVTypes"/>
</file>