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300"/>
              <w:left w:type="dxa" w:w="360"/>
              <w:bottom w:type="dxa" w:w="300"/>
              <w:right w:type="dxa" w:w="360"/>
            </w:tcMar>
          </w:tcPr>
          <w:p>
            <w:pPr>
              <w:spacing w:after="80" w:before="0"/>
              <w:jc w:val="left"/>
            </w:pPr>
            <w:r>
              <w:rPr>
                <w:rFonts w:ascii="Arial" w:cs="Arial" w:eastAsia="Arial" w:hAnsi="Arial"/>
                <w:b/>
                <w:bCs/>
                <w:color w:val="FFFFFF"/>
                <w:sz w:val="48"/>
                <w:szCs w:val="48"/>
              </w:rPr>
              <w:t xml:space="preserve">AUA Fund Level — Investigation Brief</w:t>
            </w:r>
          </w:p>
          <w:p>
            <w:pPr>
              <w:spacing w:after="0" w:before="0"/>
              <w:jc w:val="left"/>
            </w:pPr>
            <w:r>
              <w:rPr>
                <w:rFonts w:ascii="Arial" w:cs="Arial" w:eastAsia="Arial" w:hAnsi="Arial"/>
                <w:color w:val="BDD7EE"/>
                <w:sz w:val="22"/>
                <w:szCs w:val="22"/>
              </w:rPr>
              <w:t xml:space="preserve">spdwhAssetsUnderAdvice_Fund_LevelWithFPMM_Fix  |  PharosDataWarehouse  |  April 2026</w:t>
            </w:r>
          </w:p>
        </w:tc>
      </w:tr>
    </w:tbl>
    <w:p>
      <w:pPr>
        <w:spacing w:after="0" w:before="1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Document purpose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High-level breakout of what this stored procedure does, what each table contributes, where relationships exist, what is broken, and what to investigate next — including Copilot prompts to accelerate the work.</w:t>
            </w:r>
          </w:p>
        </w:tc>
      </w:tr>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Context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This is one SP in a larger ecosystem. Likely central but not confirmed. Goal is a unified database. This doc maps what we know so far.</w:t>
            </w:r>
          </w:p>
        </w:tc>
      </w:tr>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C55A11"/>
                <w:sz w:val="19"/>
                <w:szCs w:val="19"/>
              </w:rPr>
              <w:t xml:space="preserve">IN PROGRESS — investigation phase</w:t>
            </w:r>
          </w:p>
        </w:tc>
      </w:tr>
    </w:tbl>
    <w:p>
      <w:pPr>
        <w:spacing w:after="0" w:before="200"/>
      </w:pPr>
      <w:r>
        <w:rPr>
          <w:rFonts w:ascii="Arial" w:cs="Arial" w:eastAsia="Arial" w:hAnsi="Arial"/>
          <w:color w:val="1A1A1A"/>
          <w:sz w:val="20"/>
          <w:szCs w:val="20"/>
        </w:rPr>
        <w:t xml:space="preserve"/>
      </w:r>
    </w:p>
    <w:p>
      <w:r>
        <w:br w:type="page"/>
      </w:r>
    </w:p>
    <w:p>
      <w:pPr>
        <w:pStyle w:val="Heading1"/>
        <w:spacing w:after="120" w:before="360"/>
      </w:pPr>
      <w:r>
        <w:rPr>
          <w:rFonts w:ascii="Arial" w:cs="Arial" w:eastAsia="Arial" w:hAnsi="Arial"/>
          <w:b/>
          <w:bCs/>
          <w:color w:val="1F4E79"/>
          <w:sz w:val="34"/>
          <w:szCs w:val="34"/>
        </w:rPr>
        <w:t xml:space="preserve">1.  What does this thing actually do?</w:t>
      </w:r>
    </w:p>
    <w:p>
      <w:pPr>
        <w:spacing w:after="80" w:before="60"/>
      </w:pPr>
      <w:r>
        <w:rPr>
          <w:rFonts w:ascii="Arial" w:cs="Arial" w:eastAsia="Arial" w:hAnsi="Arial"/>
          <w:color w:val="1A1A1A"/>
          <w:sz w:val="20"/>
          <w:szCs w:val="20"/>
        </w:rPr>
        <w:t xml:space="preserve">One sentence: </w:t>
      </w:r>
      <w:r>
        <w:rPr>
          <w:rFonts w:ascii="Arial" w:cs="Arial" w:eastAsia="Arial" w:hAnsi="Arial"/>
          <w:b/>
          <w:bCs/>
          <w:color w:val="1A1A1A"/>
          <w:sz w:val="20"/>
          <w:szCs w:val="20"/>
        </w:rPr>
        <w:t xml:space="preserve">It tells you, for every month, how much money each adviser has under their advice — broken down to the individual fund level.</w:t>
      </w:r>
    </w:p>
    <w:p>
      <w:pPr>
        <w:spacing w:after="0" w:before="80"/>
      </w:pPr>
      <w:r>
        <w:rPr>
          <w:rFonts w:ascii="Arial" w:cs="Arial" w:eastAsia="Arial" w:hAnsi="Arial"/>
          <w:color w:val="1A1A1A"/>
          <w:sz w:val="20"/>
          <w:szCs w:val="20"/>
        </w:rPr>
        <w:t xml:space="preserve"/>
      </w:r>
    </w:p>
    <w:p>
      <w:pPr>
        <w:spacing w:after="80" w:before="60"/>
      </w:pPr>
      <w:r>
        <w:rPr>
          <w:rFonts w:ascii="Arial" w:cs="Arial" w:eastAsia="Arial" w:hAnsi="Arial"/>
          <w:color w:val="1A1A1A"/>
          <w:sz w:val="20"/>
          <w:szCs w:val="20"/>
        </w:rPr>
        <w:t xml:space="preserve">Each row in the output = one unique combination of:</w:t>
      </w:r>
    </w:p>
    <w:p>
      <w:pPr>
        <w:pStyle w:val="ListParagraph"/>
        <w:numPr>
          <w:ilvl w:val="0"/>
          <w:numId w:val="2"/>
        </w:numPr>
        <w:spacing w:after="40" w:before="40"/>
      </w:pPr>
      <w:r>
        <w:rPr>
          <w:rFonts w:ascii="Arial" w:cs="Arial" w:eastAsia="Arial" w:hAnsi="Arial"/>
          <w:color w:val="1A1A1A"/>
          <w:sz w:val="20"/>
          <w:szCs w:val="20"/>
        </w:rPr>
        <w:t xml:space="preserve">Reporting month</w:t>
      </w:r>
    </w:p>
    <w:p>
      <w:pPr>
        <w:pStyle w:val="ListParagraph"/>
        <w:numPr>
          <w:ilvl w:val="0"/>
          <w:numId w:val="2"/>
        </w:numPr>
        <w:spacing w:after="40" w:before="40"/>
      </w:pPr>
      <w:r>
        <w:rPr>
          <w:rFonts w:ascii="Arial" w:cs="Arial" w:eastAsia="Arial" w:hAnsi="Arial"/>
          <w:color w:val="1A1A1A"/>
          <w:sz w:val="20"/>
          <w:szCs w:val="20"/>
        </w:rPr>
        <w:t xml:space="preserve">Client contract (portfolio)</w:t>
      </w:r>
    </w:p>
    <w:p>
      <w:pPr>
        <w:pStyle w:val="ListParagraph"/>
        <w:numPr>
          <w:ilvl w:val="0"/>
          <w:numId w:val="2"/>
        </w:numPr>
        <w:spacing w:after="40" w:before="40"/>
      </w:pPr>
      <w:r>
        <w:rPr>
          <w:rFonts w:ascii="Arial" w:cs="Arial" w:eastAsia="Arial" w:hAnsi="Arial"/>
          <w:color w:val="1A1A1A"/>
          <w:sz w:val="20"/>
          <w:szCs w:val="20"/>
        </w:rPr>
        <w:t xml:space="preserve">Fund held inside that contract</w:t>
      </w:r>
    </w:p>
    <w:p>
      <w:pPr>
        <w:pStyle w:val="ListParagraph"/>
        <w:numPr>
          <w:ilvl w:val="0"/>
          <w:numId w:val="2"/>
        </w:numPr>
        <w:spacing w:after="40" w:before="40"/>
      </w:pPr>
      <w:r>
        <w:rPr>
          <w:rFonts w:ascii="Arial" w:cs="Arial" w:eastAsia="Arial" w:hAnsi="Arial"/>
          <w:color w:val="1A1A1A"/>
          <w:sz w:val="20"/>
          <w:szCs w:val="20"/>
        </w:rPr>
        <w:t xml:space="preserve">Adviser responsible (or their share of it)</w:t>
      </w:r>
    </w:p>
    <w:p>
      <w:pPr>
        <w:spacing w:after="0" w:before="10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BF3FB" w:val="clear"/>
            <w:tcMar>
              <w:top w:type="dxa" w:w="100"/>
              <w:left w:type="dxa" w:w="180"/>
              <w:bottom w:type="dxa" w:w="100"/>
              <w:right w:type="dxa" w:w="180"/>
            </w:tcMar>
          </w:tcPr>
          <w:p>
            <w:pPr>
              <w:spacing w:after="40" w:before="0"/>
            </w:pPr>
            <w:r>
              <w:rPr>
                <w:rFonts w:ascii="Arial" w:cs="Arial" w:eastAsia="Arial" w:hAnsi="Arial"/>
                <w:b/>
                <w:bCs/>
                <w:color w:val="2E75B6"/>
                <w:sz w:val="19"/>
                <w:szCs w:val="19"/>
              </w:rPr>
              <w:t xml:space="preserve">The split concept</w:t>
            </w:r>
          </w:p>
          <w:p>
            <w:pPr>
              <w:spacing w:after="0" w:before="0"/>
            </w:pPr>
            <w:r>
              <w:rPr>
                <w:rFonts w:ascii="Arial" w:cs="Arial" w:eastAsia="Arial" w:hAnsi="Arial"/>
                <w:color w:val="1A1A1A"/>
                <w:sz w:val="19"/>
                <w:szCs w:val="19"/>
              </w:rPr>
              <w:t xml:space="preserve">If two advisers share a R2m portfolio 50/50, you get TWO rows — each showing R1m. The split table controls this. It's what makes the adviser-level breakdown possible.</w:t>
            </w:r>
          </w:p>
        </w:tc>
      </w:tr>
    </w:tbl>
    <w:p>
      <w:pPr>
        <w:spacing w:after="0" w:before="10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1"/>
              <w:left w:val="single" w:color="7F6000" w:sz="12"/>
              <w:bottom w:val="single" w:color="7F6000" w:sz="1"/>
              <w:right w:val="single" w:color="7F6000" w:sz="1"/>
            </w:tcBorders>
            <w:shd w:fill="FFF2CC" w:val="clear"/>
            <w:tcMar>
              <w:top w:type="dxa" w:w="100"/>
              <w:left w:type="dxa" w:w="180"/>
              <w:bottom w:type="dxa" w:w="100"/>
              <w:right w:type="dxa" w:w="180"/>
            </w:tcMar>
          </w:tcPr>
          <w:p>
            <w:pPr>
              <w:spacing w:after="40" w:before="0"/>
            </w:pPr>
            <w:r>
              <w:rPr>
                <w:rFonts w:ascii="Arial" w:cs="Arial" w:eastAsia="Arial" w:hAnsi="Arial"/>
                <w:b/>
                <w:bCs/>
                <w:color w:val="7F6000"/>
                <w:sz w:val="19"/>
                <w:szCs w:val="19"/>
              </w:rPr>
              <w:t xml:space="preserve">Non-investment products (Risk, Medical Aid, Short Term Insurance)</w:t>
            </w:r>
          </w:p>
          <w:p>
            <w:pPr>
              <w:spacing w:after="0" w:before="0"/>
            </w:pPr>
            <w:r>
              <w:rPr>
                <w:rFonts w:ascii="Arial" w:cs="Arial" w:eastAsia="Arial" w:hAnsi="Arial"/>
                <w:color w:val="1A1A1A"/>
                <w:sz w:val="19"/>
                <w:szCs w:val="19"/>
              </w:rPr>
              <w:t xml:space="preserve">These appear in the report but always show R0 market value. They're included so advisers can see their full book — not just investments. They do NOT add to AUA totals.</w:t>
            </w:r>
          </w:p>
        </w:tc>
      </w:tr>
    </w:tbl>
    <w:p>
      <w:pPr>
        <w:spacing w:after="0" w:before="10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95959" w:sz="1"/>
              <w:left w:val="single" w:color="595959" w:sz="12"/>
              <w:bottom w:val="single" w:color="595959" w:sz="1"/>
              <w:right w:val="single" w:color="595959" w:sz="1"/>
            </w:tcBorders>
            <w:shd w:fill="F2F2F2" w:val="clear"/>
            <w:tcMar>
              <w:top w:type="dxa" w:w="100"/>
              <w:left w:type="dxa" w:w="180"/>
              <w:bottom w:type="dxa" w:w="100"/>
              <w:right w:type="dxa" w:w="180"/>
            </w:tcMar>
          </w:tcPr>
          <w:p>
            <w:pPr>
              <w:spacing w:after="40" w:before="0"/>
            </w:pPr>
            <w:r>
              <w:rPr>
                <w:rFonts w:ascii="Arial" w:cs="Arial" w:eastAsia="Arial" w:hAnsi="Arial"/>
                <w:b/>
                <w:bCs/>
                <w:color w:val="595959"/>
                <w:sz w:val="19"/>
                <w:szCs w:val="19"/>
              </w:rPr>
              <w:t xml:space="preserve">How the table is built</w:t>
            </w:r>
          </w:p>
          <w:p>
            <w:pPr>
              <w:spacing w:after="0" w:before="0"/>
            </w:pPr>
            <w:r>
              <w:rPr>
                <w:rFonts w:ascii="Arial" w:cs="Arial" w:eastAsia="Arial" w:hAnsi="Arial"/>
                <w:color w:val="1A1A1A"/>
                <w:sz w:val="19"/>
                <w:szCs w:val="19"/>
              </w:rPr>
              <w:t xml:space="preserve">TRUNCATE then full INSERT every run. No incremental updates. Last 5 years only. The table is empty briefly during each run.</w:t>
            </w:r>
          </w:p>
        </w:tc>
      </w:tr>
    </w:tbl>
    <w:p>
      <w:pPr>
        <w:spacing w:after="0" w:before="200"/>
      </w:pPr>
      <w:r>
        <w:rPr>
          <w:rFonts w:ascii="Arial" w:cs="Arial" w:eastAsia="Arial" w:hAnsi="Arial"/>
          <w:color w:val="1A1A1A"/>
          <w:sz w:val="20"/>
          <w:szCs w:val="20"/>
        </w:rPr>
        <w:t xml:space="preserve"/>
      </w:r>
    </w:p>
    <w:p>
      <w:r>
        <w:br w:type="page"/>
      </w:r>
    </w:p>
    <w:p>
      <w:pPr>
        <w:pStyle w:val="Heading1"/>
        <w:spacing w:after="120" w:before="360"/>
      </w:pPr>
      <w:r>
        <w:rPr>
          <w:rFonts w:ascii="Arial" w:cs="Arial" w:eastAsia="Arial" w:hAnsi="Arial"/>
          <w:b/>
          <w:bCs/>
          <w:color w:val="1F4E79"/>
          <w:sz w:val="34"/>
          <w:szCs w:val="34"/>
        </w:rPr>
        <w:t xml:space="preserve">2.  The five data domains</w:t>
      </w:r>
    </w:p>
    <w:p>
      <w:pPr>
        <w:spacing w:after="80" w:before="60"/>
      </w:pPr>
      <w:r>
        <w:rPr>
          <w:rFonts w:ascii="Arial" w:cs="Arial" w:eastAsia="Arial" w:hAnsi="Arial"/>
          <w:color w:val="1A1A1A"/>
          <w:sz w:val="20"/>
          <w:szCs w:val="20"/>
        </w:rPr>
        <w:t xml:space="preserve">Every table in the SP belongs to one of five domains. Each domain answers a different question about the row.</w:t>
      </w:r>
    </w:p>
    <w:p>
      <w:pPr>
        <w:spacing w:after="0" w:before="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300"/>
        <w:gridCol w:w="2000"/>
        <w:gridCol w:w="1200"/>
        <w:gridCol w:w="1060"/>
      </w:tblGrid>
      <w:tr>
        <w:trPr>
          <w:tblHeader/>
        </w:trP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Domain</w:t>
            </w:r>
          </w:p>
        </w:tc>
        <w:tc>
          <w:tcPr>
            <w:tcW w:type="dxa" w:w="2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Tables</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What it does</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Join</w:t>
            </w:r>
          </w:p>
        </w:tc>
        <w:tc>
          <w:tcPr>
            <w:tcW w:type="dxa" w:w="1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Risk</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0" w:before="0"/>
            </w:pPr>
            <w:r>
              <w:rPr>
                <w:rFonts w:ascii="Arial" w:cs="Arial" w:eastAsia="Arial" w:hAnsi="Arial"/>
                <w:b/>
                <w:bCs/>
                <w:color w:val="2E75B6"/>
                <w:sz w:val="22"/>
                <w:szCs w:val="22"/>
              </w:rPr>
              <w:t xml:space="preserve">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0" w:before="0"/>
            </w:pPr>
            <w:r>
              <w:rPr>
                <w:rFonts w:ascii="Arial" w:cs="Arial" w:eastAsia="Arial" w:hAnsi="Arial"/>
                <w:b/>
                <w:bCs/>
                <w:color w:val="1A1A1A"/>
                <w:sz w:val="20"/>
                <w:szCs w:val="20"/>
              </w:rPr>
              <w:t xml:space="preserve">Portfolio Core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i/>
                <w:iCs/>
                <w:color w:val="1A1A1A"/>
                <w:sz w:val="18"/>
                <w:szCs w:val="18"/>
              </w:rPr>
              <w:t xml:space="preserve">tempPortfolioDetails
tempPortfolioValues
tempPortfolioAssetSplit_Test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The spine. Contract details, monthly ZAR value, adviser split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Anchor + INNER JOIN + LEFT JOIN</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Low</w:t>
            </w:r>
          </w:p>
        </w:tc>
      </w:tr>
    </w:tbl>
    <w:p>
      <w:pPr>
        <w:spacing w:after="0" w:before="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300"/>
        <w:gridCol w:w="2000"/>
        <w:gridCol w:w="1200"/>
        <w:gridCol w:w="1060"/>
      </w:tblGrid>
      <w:tr>
        <w:trPr>
          <w:tblHeader/>
        </w:trPr>
        <w:tc>
          <w:tcPr>
            <w:tcW w:type="dxa" w:w="6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w:t>
            </w:r>
          </w:p>
        </w:tc>
        <w:tc>
          <w:tcPr>
            <w:tcW w:type="dxa" w:w="22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Domain</w:t>
            </w:r>
          </w:p>
        </w:tc>
        <w:tc>
          <w:tcPr>
            <w:tcW w:type="dxa" w:w="23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Tables</w:t>
            </w:r>
          </w:p>
        </w:tc>
        <w:tc>
          <w:tcPr>
            <w:tcW w:type="dxa" w:w="20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What it does</w:t>
            </w:r>
          </w:p>
        </w:tc>
        <w:tc>
          <w:tcPr>
            <w:tcW w:type="dxa" w:w="12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Join</w:t>
            </w:r>
          </w:p>
        </w:tc>
        <w:tc>
          <w:tcPr>
            <w:tcW w:type="dxa" w:w="106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Risk</w:t>
            </w:r>
          </w:p>
        </w:tc>
      </w:tr>
      <w:tr>
        <w:tc>
          <w:tcPr>
            <w:tcW w:type="dxa" w:w="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before="0"/>
            </w:pPr>
            <w:r>
              <w:rPr>
                <w:rFonts w:ascii="Arial" w:cs="Arial" w:eastAsia="Arial" w:hAnsi="Arial"/>
                <w:b/>
                <w:bCs/>
                <w:color w:val="375623"/>
                <w:sz w:val="22"/>
                <w:szCs w:val="22"/>
              </w:rPr>
              <w:t xml:space="preserve">2</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before="0"/>
            </w:pPr>
            <w:r>
              <w:rPr>
                <w:rFonts w:ascii="Arial" w:cs="Arial" w:eastAsia="Arial" w:hAnsi="Arial"/>
                <w:b/>
                <w:bCs/>
                <w:color w:val="1A1A1A"/>
                <w:sz w:val="20"/>
                <w:szCs w:val="20"/>
              </w:rPr>
              <w:t xml:space="preserve">Adviser / Staff</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i/>
                <w:iCs/>
                <w:color w:val="1A1A1A"/>
                <w:sz w:val="18"/>
                <w:szCs w:val="18"/>
              </w:rPr>
              <w:t xml:space="preserve">tempStaffDetails
tempClientStaffRelationNew
SalesPerson (Inv_Analytics)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Who the adviser is, their F-number, role, and region.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LEFT JOINs (all)</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Low–Med</w:t>
            </w:r>
          </w:p>
        </w:tc>
      </w:tr>
    </w:tbl>
    <w:p>
      <w:pPr>
        <w:spacing w:after="0" w:before="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300"/>
        <w:gridCol w:w="2000"/>
        <w:gridCol w:w="1200"/>
        <w:gridCol w:w="1060"/>
      </w:tblGrid>
      <w:tr>
        <w:trPr>
          <w:tblHeader/>
        </w:trPr>
        <w:tc>
          <w:tcPr>
            <w:tcW w:type="dxa" w:w="600"/>
            <w:tcBorders>
              <w:top w:val="single" w:color="CCCCCC" w:sz="1"/>
              <w:left w:val="single" w:color="CCCCCC" w:sz="1"/>
              <w:bottom w:val="single" w:color="CCCCCC" w:sz="1"/>
              <w:right w:val="single" w:color="CCCCCC" w:sz="1"/>
            </w:tcBorders>
            <w:shd w:fill="5B2C8D"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w:t>
            </w:r>
          </w:p>
        </w:tc>
        <w:tc>
          <w:tcPr>
            <w:tcW w:type="dxa" w:w="2200"/>
            <w:tcBorders>
              <w:top w:val="single" w:color="CCCCCC" w:sz="1"/>
              <w:left w:val="single" w:color="CCCCCC" w:sz="1"/>
              <w:bottom w:val="single" w:color="CCCCCC" w:sz="1"/>
              <w:right w:val="single" w:color="CCCCCC" w:sz="1"/>
            </w:tcBorders>
            <w:shd w:fill="5B2C8D"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Domain</w:t>
            </w:r>
          </w:p>
        </w:tc>
        <w:tc>
          <w:tcPr>
            <w:tcW w:type="dxa" w:w="2300"/>
            <w:tcBorders>
              <w:top w:val="single" w:color="CCCCCC" w:sz="1"/>
              <w:left w:val="single" w:color="CCCCCC" w:sz="1"/>
              <w:bottom w:val="single" w:color="CCCCCC" w:sz="1"/>
              <w:right w:val="single" w:color="CCCCCC" w:sz="1"/>
            </w:tcBorders>
            <w:shd w:fill="5B2C8D"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Tables</w:t>
            </w:r>
          </w:p>
        </w:tc>
        <w:tc>
          <w:tcPr>
            <w:tcW w:type="dxa" w:w="2000"/>
            <w:tcBorders>
              <w:top w:val="single" w:color="CCCCCC" w:sz="1"/>
              <w:left w:val="single" w:color="CCCCCC" w:sz="1"/>
              <w:bottom w:val="single" w:color="CCCCCC" w:sz="1"/>
              <w:right w:val="single" w:color="CCCCCC" w:sz="1"/>
            </w:tcBorders>
            <w:shd w:fill="5B2C8D"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What it does</w:t>
            </w:r>
          </w:p>
        </w:tc>
        <w:tc>
          <w:tcPr>
            <w:tcW w:type="dxa" w:w="1200"/>
            <w:tcBorders>
              <w:top w:val="single" w:color="CCCCCC" w:sz="1"/>
              <w:left w:val="single" w:color="CCCCCC" w:sz="1"/>
              <w:bottom w:val="single" w:color="CCCCCC" w:sz="1"/>
              <w:right w:val="single" w:color="CCCCCC" w:sz="1"/>
            </w:tcBorders>
            <w:shd w:fill="5B2C8D"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Join</w:t>
            </w:r>
          </w:p>
        </w:tc>
        <w:tc>
          <w:tcPr>
            <w:tcW w:type="dxa" w:w="1060"/>
            <w:tcBorders>
              <w:top w:val="single" w:color="CCCCCC" w:sz="1"/>
              <w:left w:val="single" w:color="CCCCCC" w:sz="1"/>
              <w:bottom w:val="single" w:color="CCCCCC" w:sz="1"/>
              <w:right w:val="single" w:color="CCCCCC" w:sz="1"/>
            </w:tcBorders>
            <w:shd w:fill="5B2C8D"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Risk</w:t>
            </w:r>
          </w:p>
        </w:tc>
      </w:tr>
      <w:tr>
        <w:tc>
          <w:tcPr>
            <w:tcW w:type="dxa" w:w="600"/>
            <w:tcBorders>
              <w:top w:val="single" w:color="CCCCCC" w:sz="1"/>
              <w:left w:val="single" w:color="CCCCCC" w:sz="1"/>
              <w:bottom w:val="single" w:color="CCCCCC" w:sz="1"/>
              <w:right w:val="single" w:color="CCCCCC" w:sz="1"/>
            </w:tcBorders>
            <w:shd w:fill="F0E8FA" w:val="clear"/>
            <w:tcMar>
              <w:top w:type="dxa" w:w="80"/>
              <w:left w:type="dxa" w:w="120"/>
              <w:bottom w:type="dxa" w:w="80"/>
              <w:right w:type="dxa" w:w="120"/>
            </w:tcMar>
            <w:vAlign w:val="top"/>
          </w:tcPr>
          <w:p>
            <w:pPr>
              <w:spacing w:after="0" w:before="0"/>
            </w:pPr>
            <w:r>
              <w:rPr>
                <w:rFonts w:ascii="Arial" w:cs="Arial" w:eastAsia="Arial" w:hAnsi="Arial"/>
                <w:b/>
                <w:bCs/>
                <w:color w:val="5B2C8D"/>
                <w:sz w:val="22"/>
                <w:szCs w:val="22"/>
              </w:rPr>
              <w:t xml:space="preserve">3</w:t>
            </w:r>
          </w:p>
        </w:tc>
        <w:tc>
          <w:tcPr>
            <w:tcW w:type="dxa" w:w="2200"/>
            <w:tcBorders>
              <w:top w:val="single" w:color="CCCCCC" w:sz="1"/>
              <w:left w:val="single" w:color="CCCCCC" w:sz="1"/>
              <w:bottom w:val="single" w:color="CCCCCC" w:sz="1"/>
              <w:right w:val="single" w:color="CCCCCC" w:sz="1"/>
            </w:tcBorders>
            <w:shd w:fill="F0E8FA" w:val="clear"/>
            <w:tcMar>
              <w:top w:type="dxa" w:w="80"/>
              <w:left w:type="dxa" w:w="120"/>
              <w:bottom w:type="dxa" w:w="80"/>
              <w:right w:type="dxa" w:w="120"/>
            </w:tcMar>
            <w:vAlign w:val="top"/>
          </w:tcPr>
          <w:p>
            <w:pPr>
              <w:spacing w:after="0" w:before="0"/>
            </w:pPr>
            <w:r>
              <w:rPr>
                <w:rFonts w:ascii="Arial" w:cs="Arial" w:eastAsia="Arial" w:hAnsi="Arial"/>
                <w:b/>
                <w:bCs/>
                <w:color w:val="1A1A1A"/>
                <w:sz w:val="20"/>
                <w:szCs w:val="20"/>
              </w:rPr>
              <w:t xml:space="preserve">Client / Entity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i/>
                <w:iCs/>
                <w:color w:val="1A1A1A"/>
                <w:sz w:val="18"/>
                <w:szCs w:val="18"/>
              </w:rPr>
              <w:t xml:space="preserve">tempEntityDetails
vCoManager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Who the client is. Name, UCN, ID/Reg number, entity type.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INNER JOIN + LEFT JOIN</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Low</w:t>
            </w:r>
          </w:p>
        </w:tc>
      </w:tr>
    </w:tbl>
    <w:p>
      <w:pPr>
        <w:spacing w:after="0" w:before="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300"/>
        <w:gridCol w:w="2000"/>
        <w:gridCol w:w="1200"/>
        <w:gridCol w:w="1060"/>
      </w:tblGrid>
      <w:tr>
        <w:trPr>
          <w:tblHeader/>
        </w:trPr>
        <w:tc>
          <w:tcPr>
            <w:tcW w:type="dxa" w:w="600"/>
            <w:tcBorders>
              <w:top w:val="single" w:color="CCCCCC" w:sz="1"/>
              <w:left w:val="single" w:color="CCCCCC" w:sz="1"/>
              <w:bottom w:val="single" w:color="CCCCCC" w:sz="1"/>
              <w:right w:val="single" w:color="CCCCCC" w:sz="1"/>
            </w:tcBorders>
            <w:shd w:fill="1D6F6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w:t>
            </w:r>
          </w:p>
        </w:tc>
        <w:tc>
          <w:tcPr>
            <w:tcW w:type="dxa" w:w="2200"/>
            <w:tcBorders>
              <w:top w:val="single" w:color="CCCCCC" w:sz="1"/>
              <w:left w:val="single" w:color="CCCCCC" w:sz="1"/>
              <w:bottom w:val="single" w:color="CCCCCC" w:sz="1"/>
              <w:right w:val="single" w:color="CCCCCC" w:sz="1"/>
            </w:tcBorders>
            <w:shd w:fill="1D6F6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Domain</w:t>
            </w:r>
          </w:p>
        </w:tc>
        <w:tc>
          <w:tcPr>
            <w:tcW w:type="dxa" w:w="2300"/>
            <w:tcBorders>
              <w:top w:val="single" w:color="CCCCCC" w:sz="1"/>
              <w:left w:val="single" w:color="CCCCCC" w:sz="1"/>
              <w:bottom w:val="single" w:color="CCCCCC" w:sz="1"/>
              <w:right w:val="single" w:color="CCCCCC" w:sz="1"/>
            </w:tcBorders>
            <w:shd w:fill="1D6F6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Tables</w:t>
            </w:r>
          </w:p>
        </w:tc>
        <w:tc>
          <w:tcPr>
            <w:tcW w:type="dxa" w:w="2000"/>
            <w:tcBorders>
              <w:top w:val="single" w:color="CCCCCC" w:sz="1"/>
              <w:left w:val="single" w:color="CCCCCC" w:sz="1"/>
              <w:bottom w:val="single" w:color="CCCCCC" w:sz="1"/>
              <w:right w:val="single" w:color="CCCCCC" w:sz="1"/>
            </w:tcBorders>
            <w:shd w:fill="1D6F6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What it does</w:t>
            </w:r>
          </w:p>
        </w:tc>
        <w:tc>
          <w:tcPr>
            <w:tcW w:type="dxa" w:w="1200"/>
            <w:tcBorders>
              <w:top w:val="single" w:color="CCCCCC" w:sz="1"/>
              <w:left w:val="single" w:color="CCCCCC" w:sz="1"/>
              <w:bottom w:val="single" w:color="CCCCCC" w:sz="1"/>
              <w:right w:val="single" w:color="CCCCCC" w:sz="1"/>
            </w:tcBorders>
            <w:shd w:fill="1D6F6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Join</w:t>
            </w:r>
          </w:p>
        </w:tc>
        <w:tc>
          <w:tcPr>
            <w:tcW w:type="dxa" w:w="1060"/>
            <w:tcBorders>
              <w:top w:val="single" w:color="CCCCCC" w:sz="1"/>
              <w:left w:val="single" w:color="CCCCCC" w:sz="1"/>
              <w:bottom w:val="single" w:color="CCCCCC" w:sz="1"/>
              <w:right w:val="single" w:color="CCCCCC" w:sz="1"/>
            </w:tcBorders>
            <w:shd w:fill="1D6F6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Risk</w:t>
            </w:r>
          </w:p>
        </w:tc>
      </w:tr>
      <w:tr>
        <w:tc>
          <w:tcPr>
            <w:tcW w:type="dxa" w:w="60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vAlign w:val="top"/>
          </w:tcPr>
          <w:p>
            <w:pPr>
              <w:spacing w:after="0" w:before="0"/>
            </w:pPr>
            <w:r>
              <w:rPr>
                <w:rFonts w:ascii="Arial" w:cs="Arial" w:eastAsia="Arial" w:hAnsi="Arial"/>
                <w:b/>
                <w:bCs/>
                <w:color w:val="1D6F6F"/>
                <w:sz w:val="22"/>
                <w:szCs w:val="22"/>
              </w:rPr>
              <w:t xml:space="preserve">4</w:t>
            </w:r>
          </w:p>
        </w:tc>
        <w:tc>
          <w:tcPr>
            <w:tcW w:type="dxa" w:w="220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vAlign w:val="top"/>
          </w:tcPr>
          <w:p>
            <w:pPr>
              <w:spacing w:after="0" w:before="0"/>
            </w:pPr>
            <w:r>
              <w:rPr>
                <w:rFonts w:ascii="Arial" w:cs="Arial" w:eastAsia="Arial" w:hAnsi="Arial"/>
                <w:b/>
                <w:bCs/>
                <w:color w:val="1A1A1A"/>
                <w:sz w:val="20"/>
                <w:szCs w:val="20"/>
              </w:rPr>
              <w:t xml:space="preserve">Product &amp; Fund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i/>
                <w:iCs/>
                <w:color w:val="1A1A1A"/>
                <w:sz w:val="18"/>
                <w:szCs w:val="18"/>
              </w:rPr>
              <w:t xml:space="preserve">tempInstrumentDetails (×2)
InstrumentSupplier (×2)
tempCommissionPerMonth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What the money is in. Product wrapper + underlying fund + commission rate.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LEFT JOINs (all)</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Low</w:t>
            </w:r>
          </w:p>
        </w:tc>
      </w:tr>
    </w:tbl>
    <w:p>
      <w:pPr>
        <w:spacing w:after="0" w:before="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300"/>
        <w:gridCol w:w="2000"/>
        <w:gridCol w:w="1200"/>
        <w:gridCol w:w="1060"/>
      </w:tblGrid>
      <w:tr>
        <w:trPr>
          <w:tblHeader/>
        </w:trPr>
        <w:tc>
          <w:tcPr>
            <w:tcW w:type="dxa" w:w="6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w:t>
            </w:r>
          </w:p>
        </w:tc>
        <w:tc>
          <w:tcPr>
            <w:tcW w:type="dxa" w:w="22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Domain</w:t>
            </w:r>
          </w:p>
        </w:tc>
        <w:tc>
          <w:tcPr>
            <w:tcW w:type="dxa" w:w="23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Tables</w:t>
            </w:r>
          </w:p>
        </w:tc>
        <w:tc>
          <w:tcPr>
            <w:tcW w:type="dxa" w:w="20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What it does</w:t>
            </w:r>
          </w:p>
        </w:tc>
        <w:tc>
          <w:tcPr>
            <w:tcW w:type="dxa" w:w="12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Join</w:t>
            </w:r>
          </w:p>
        </w:tc>
        <w:tc>
          <w:tcPr>
            <w:tcW w:type="dxa" w:w="106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Risk</w:t>
            </w:r>
          </w:p>
        </w:tc>
      </w:tr>
      <w:tr>
        <w:tc>
          <w:tcPr>
            <w:tcW w:type="dxa" w:w="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spacing w:after="0" w:before="0"/>
            </w:pPr>
            <w:r>
              <w:rPr>
                <w:rFonts w:ascii="Arial" w:cs="Arial" w:eastAsia="Arial" w:hAnsi="Arial"/>
                <w:b/>
                <w:bCs/>
                <w:color w:val="C55A11"/>
                <w:sz w:val="22"/>
                <w:szCs w:val="22"/>
              </w:rPr>
              <w:t xml:space="preserve">5</w:t>
            </w:r>
          </w:p>
        </w:tc>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spacing w:after="0" w:before="0"/>
            </w:pPr>
            <w:r>
              <w:rPr>
                <w:rFonts w:ascii="Arial" w:cs="Arial" w:eastAsia="Arial" w:hAnsi="Arial"/>
                <w:b/>
                <w:bCs/>
                <w:color w:val="1A1A1A"/>
                <w:sz w:val="20"/>
                <w:szCs w:val="20"/>
              </w:rPr>
              <w:t xml:space="preserve">Analytics Overlays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i/>
                <w:iCs/>
                <w:color w:val="1A1A1A"/>
                <w:sz w:val="18"/>
                <w:szCs w:val="18"/>
              </w:rPr>
              <w:t xml:space="preserve">Security (Inv_Analytics)
Customer_Monthly_Segmentation
FeeGroupMember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Classification tags. House view, segment, fee group. Don't affect values.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LEFT JOIN + OUTER APPLY</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HIGH / Med</w:t>
            </w:r>
          </w:p>
        </w:tc>
      </w:tr>
    </w:tbl>
    <w:p>
      <w:pPr>
        <w:spacing w:after="0" w:before="200"/>
      </w:pPr>
      <w:r>
        <w:rPr>
          <w:rFonts w:ascii="Arial" w:cs="Arial" w:eastAsia="Arial" w:hAnsi="Arial"/>
          <w:color w:val="1A1A1A"/>
          <w:sz w:val="20"/>
          <w:szCs w:val="20"/>
        </w:rPr>
        <w:t xml:space="preserve"/>
      </w:r>
    </w:p>
    <w:p>
      <w:r>
        <w:br w:type="page"/>
      </w:r>
    </w:p>
    <w:p>
      <w:pPr>
        <w:pStyle w:val="Heading1"/>
        <w:spacing w:after="120" w:before="360"/>
      </w:pPr>
      <w:r>
        <w:rPr>
          <w:rFonts w:ascii="Arial" w:cs="Arial" w:eastAsia="Arial" w:hAnsi="Arial"/>
          <w:b/>
          <w:bCs/>
          <w:color w:val="1F4E79"/>
          <w:sz w:val="34"/>
          <w:szCs w:val="34"/>
        </w:rPr>
        <w:t xml:space="preserve">3.  What each table is doing</w:t>
      </w:r>
    </w:p>
    <w:p>
      <w:pPr>
        <w:spacing w:after="0" w:before="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31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Table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Role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Join type</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Key point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0" w:before="0"/>
            </w:pPr>
            <w:r>
              <w:rPr>
                <w:rFonts w:ascii="Arial" w:cs="Arial" w:eastAsia="Arial" w:hAnsi="Arial"/>
                <w:b/>
                <w:bCs/>
                <w:color w:val="1A1A1A"/>
                <w:sz w:val="19"/>
                <w:szCs w:val="19"/>
              </w:rPr>
              <w:t xml:space="preserve">tempPortfolioDetails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Anchor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Spine of every row. If it's not here, it doesn't exist in the report.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color w:val="1A1A1A"/>
                <w:sz w:val="19"/>
                <w:szCs w:val="19"/>
              </w:rPr>
              <w:t xml:space="preserve">tempPortfolioValues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Market value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INNER JOIN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Critical. Missing valuation = row dropped. Filters: In-Force, Managed, Market Value type, non-zero for investments.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0" w:before="0"/>
            </w:pPr>
            <w:r>
              <w:rPr>
                <w:rFonts w:ascii="Arial" w:cs="Arial" w:eastAsia="Arial" w:hAnsi="Arial"/>
                <w:b/>
                <w:bCs/>
                <w:color w:val="1A1A1A"/>
                <w:sz w:val="19"/>
                <w:szCs w:val="19"/>
              </w:rPr>
              <w:t xml:space="preserve">tempPortfolioAssetSplit_Test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Adviser split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LEFT JOIN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Creates multiple rows per portfolio for split advisers. Joins on RootPortfolioEntryID + YearMonth (composite). '_Test' suffix — confirm this is production.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color w:val="1A1A1A"/>
                <w:sz w:val="19"/>
                <w:szCs w:val="19"/>
              </w:rPr>
              <w:t xml:space="preserve">tempStaffDetails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Adviser info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LEFT JOIN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Name, FNumber (stripped from WindowsLogin), brand. BrokerEntityID = EntityID.</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0" w:before="0"/>
            </w:pPr>
            <w:r>
              <w:rPr>
                <w:rFonts w:ascii="Arial" w:cs="Arial" w:eastAsia="Arial" w:hAnsi="Arial"/>
                <w:b/>
                <w:bCs/>
                <w:color w:val="1A1A1A"/>
                <w:sz w:val="19"/>
                <w:szCs w:val="19"/>
              </w:rPr>
              <w:t xml:space="preserve">tempClientStaffRelationNew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Adviser role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LEFT JOIN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Gives StaffRole. Filtered IsBrokerRole=1 and grouped (MAX) to prevent duplicates. Drop if role not needed.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color w:val="1A1A1A"/>
                <w:sz w:val="19"/>
                <w:szCs w:val="19"/>
              </w:rPr>
              <w:t xml:space="preserve">SalesPerson (Inv_Analytics)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Region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LEFT JOIN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Only source of ReportRegion. Cross-DB. Unmatched advisers → 'x-unallocated'. Coverage unknown.</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0" w:before="0"/>
            </w:pPr>
            <w:r>
              <w:rPr>
                <w:rFonts w:ascii="Arial" w:cs="Arial" w:eastAsia="Arial" w:hAnsi="Arial"/>
                <w:b/>
                <w:bCs/>
                <w:color w:val="1A1A1A"/>
                <w:sz w:val="19"/>
                <w:szCs w:val="19"/>
              </w:rPr>
              <w:t xml:space="preserve">tempEntityDetails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Client identity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INNER JOIN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Name, UCN, ID/Reg, entity type. INNER JOIN = FNB Trust (CompanyL=7) and unknown clients are hard excluded.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color w:val="1A1A1A"/>
                <w:sz w:val="19"/>
                <w:szCs w:val="19"/>
              </w:rPr>
              <w:t xml:space="preserve">vCoManager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Co-managers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LEFT JOIN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Up to 2 co-managers. Informational only. Safe to drop.</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0" w:before="0"/>
            </w:pPr>
            <w:r>
              <w:rPr>
                <w:rFonts w:ascii="Arial" w:cs="Arial" w:eastAsia="Arial" w:hAnsi="Arial"/>
                <w:b/>
                <w:bCs/>
                <w:color w:val="1A1A1A"/>
                <w:sz w:val="19"/>
                <w:szCs w:val="19"/>
              </w:rPr>
              <w:t xml:space="preserve">tempInstrumentDetails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Product + Fund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LEFT JOIN (×2)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Same table used twice with different aliases. Product uses RootInstrumentID. Fund uses InstrumentID. Key design point for unified DB.</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color w:val="1A1A1A"/>
                <w:sz w:val="19"/>
                <w:szCs w:val="19"/>
              </w:rPr>
              <w:t xml:space="preserve">InstrumentSupplier ×2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Supplier country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LEFT JOIN (×2)</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Adds ProductSupplierCountry and FundSupplierCountry. Drop if country not needed.</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0" w:before="0"/>
            </w:pPr>
            <w:r>
              <w:rPr>
                <w:rFonts w:ascii="Arial" w:cs="Arial" w:eastAsia="Arial" w:hAnsi="Arial"/>
                <w:b/>
                <w:bCs/>
                <w:color w:val="1A1A1A"/>
                <w:sz w:val="19"/>
                <w:szCs w:val="19"/>
              </w:rPr>
              <w:t xml:space="preserve">tempCommissionPerMonth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Pricing 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LEFT JOIN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Commission % per fund per month. Joins on PortfolioEntryID + YearMonth. Drop if Pricing field not needed.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color w:val="1A1A1A"/>
                <w:sz w:val="19"/>
                <w:szCs w:val="19"/>
              </w:rPr>
              <w:t xml:space="preserve">Security (Inv_Analytics)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Fund tags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LEFT JOIN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HouseView, Group/3rdParty, Local/Offshore etc. Cross-DB. Overlay only — doesn't affect values.</w:t>
            </w:r>
          </w:p>
        </w:tc>
      </w:tr>
      <w:tr>
        <w:tc>
          <w:tcPr>
            <w:tcW w:type="dxa" w:w="26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vAlign w:val="top"/>
          </w:tcPr>
          <w:p>
            <w:pPr>
              <w:spacing w:after="0" w:before="0"/>
            </w:pPr>
            <w:r>
              <w:rPr>
                <w:rFonts w:ascii="Arial" w:cs="Arial" w:eastAsia="Arial" w:hAnsi="Arial"/>
                <w:b/>
                <w:bCs/>
                <w:color w:val="1A1A1A"/>
                <w:sz w:val="19"/>
                <w:szCs w:val="19"/>
              </w:rPr>
              <w:t xml:space="preserve">Customer_Monthly_Segmentation</w:t>
            </w:r>
          </w:p>
        </w:tc>
        <w:tc>
          <w:tcPr>
            <w:tcW w:type="dxa" w:w="18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Client segment</w:t>
            </w:r>
          </w:p>
        </w:tc>
        <w:tc>
          <w:tcPr>
            <w:tcW w:type="dxa" w:w="18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LEFT JOIN</w:t>
            </w:r>
          </w:p>
        </w:tc>
        <w:tc>
          <w:tcPr>
            <w:tcW w:type="dxa" w:w="316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vAlign w:val="top"/>
          </w:tcPr>
          <w:p>
            <w:pPr>
              <w:spacing w:after="0" w:before="0"/>
            </w:pPr>
            <w:r>
              <w:rPr>
                <w:rFonts w:ascii="Arial" w:cs="Arial" w:eastAsia="Arial" w:hAnsi="Arial"/>
                <w:b/>
                <w:bCs/>
                <w:color w:val="C00000"/>
                <w:sz w:val="19"/>
                <w:szCs w:val="19"/>
              </w:rPr>
              <w:t xml:space="preserve">HIGH RISK: </w:t>
            </w:r>
            <w:r>
              <w:rPr>
                <w:rFonts w:ascii="Arial" w:cs="Arial" w:eastAsia="Arial" w:hAnsi="Arial"/>
                <w:color w:val="1A1A1A"/>
                <w:sz w:val="19"/>
                <w:szCs w:val="19"/>
              </w:rPr>
              <w:t xml:space="preserve">No YearMonth filter. Multiple segment records per client = row duplication = inflated AUA. Fix before using.</w:t>
            </w:r>
          </w:p>
        </w:tc>
      </w:tr>
      <w:tr>
        <w:tc>
          <w:tcPr>
            <w:tcW w:type="dxa" w:w="2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spacing w:after="0" w:before="0"/>
            </w:pPr>
            <w:r>
              <w:rPr>
                <w:rFonts w:ascii="Arial" w:cs="Arial" w:eastAsia="Arial" w:hAnsi="Arial"/>
                <w:b/>
                <w:bCs/>
                <w:color w:val="1A1A1A"/>
                <w:sz w:val="19"/>
                <w:szCs w:val="19"/>
              </w:rPr>
              <w:t xml:space="preserve">FeeGroupMember</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Fee group</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OUTER APPLY</w:t>
            </w:r>
          </w:p>
        </w:tc>
        <w:tc>
          <w:tcPr>
            <w:tcW w:type="dxa" w:w="3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spacing w:after="0" w:before="0"/>
            </w:pPr>
            <w:r>
              <w:rPr>
                <w:rFonts w:ascii="Arial" w:cs="Arial" w:eastAsia="Arial" w:hAnsi="Arial"/>
                <w:b/>
                <w:bCs/>
                <w:color w:val="7F6000"/>
                <w:sz w:val="19"/>
                <w:szCs w:val="19"/>
              </w:rPr>
              <w:t xml:space="preserve">MEDIUM RISK: </w:t>
            </w:r>
            <w:r>
              <w:rPr>
                <w:rFonts w:ascii="Arial" w:cs="Arial" w:eastAsia="Arial" w:hAnsi="Arial"/>
                <w:color w:val="1A1A1A"/>
                <w:sz w:val="19"/>
                <w:szCs w:val="19"/>
              </w:rPr>
              <w:t xml:space="preserve">TOP 1 with no ORDER BY = non-deterministic. Different row may be returned each run. Fix: add ORDER BY CreatedDate DESC.</w:t>
            </w:r>
          </w:p>
        </w:tc>
      </w:tr>
    </w:tbl>
    <w:p>
      <w:pPr>
        <w:spacing w:after="0" w:before="200"/>
      </w:pPr>
      <w:r>
        <w:rPr>
          <w:rFonts w:ascii="Arial" w:cs="Arial" w:eastAsia="Arial" w:hAnsi="Arial"/>
          <w:color w:val="1A1A1A"/>
          <w:sz w:val="20"/>
          <w:szCs w:val="20"/>
        </w:rPr>
        <w:t xml:space="preserve"/>
      </w:r>
    </w:p>
    <w:p>
      <w:r>
        <w:br w:type="page"/>
      </w:r>
    </w:p>
    <w:p>
      <w:pPr>
        <w:pStyle w:val="Heading1"/>
        <w:spacing w:after="120" w:before="360"/>
      </w:pPr>
      <w:r>
        <w:rPr>
          <w:rFonts w:ascii="Arial" w:cs="Arial" w:eastAsia="Arial" w:hAnsi="Arial"/>
          <w:b/>
          <w:bCs/>
          <w:color w:val="1F4E79"/>
          <w:sz w:val="34"/>
          <w:szCs w:val="34"/>
        </w:rPr>
        <w:t xml:space="preserve">4.  How fields relate across tables</w:t>
      </w:r>
    </w:p>
    <w:p>
      <w:pPr>
        <w:spacing w:after="80" w:before="60"/>
      </w:pPr>
      <w:r>
        <w:rPr>
          <w:rFonts w:ascii="Arial" w:cs="Arial" w:eastAsia="Arial" w:hAnsi="Arial"/>
          <w:color w:val="1A1A1A"/>
          <w:sz w:val="20"/>
          <w:szCs w:val="20"/>
        </w:rPr>
        <w:t xml:space="preserve">These are the join keys — the connective tissue. If you're building a unified DB, this is what becomes your foreign key map.</w:t>
      </w:r>
    </w:p>
    <w:p>
      <w:pPr>
        <w:spacing w:after="0" w:before="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Concept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Table A field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Table B field</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Client universal 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tempEntityDetails.UCN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Customer_Monthly_Segmentation.CUST_NO</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color w:val="1A1A1A"/>
                <w:sz w:val="19"/>
                <w:szCs w:val="19"/>
              </w:rPr>
              <w:t xml:space="preserve">PARTIAL. </w:t>
            </w:r>
          </w:p>
          <w:p>
            <w:pPr>
              <w:spacing w:after="0" w:before="0"/>
            </w:pPr>
            <w:r>
              <w:rPr>
                <w:rFonts w:ascii="Arial" w:cs="Arial" w:eastAsia="Arial" w:hAnsi="Arial"/>
                <w:color w:val="1A1A1A"/>
                <w:sz w:val="20"/>
                <w:szCs w:val="20"/>
              </w:rPr>
              <w:t xml:space="preserve">Requires collation cast both sides. No month filter = RISK.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Portfolio ↔ value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tempPortfolioDetails.PortfolioEntryID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tempPortfolioValues.PortfolioEntryID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Clean 1-to-many. Direct PK/FK.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Portfolio ↔ split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tempPortfolioValues.RootPortfolioEntryID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tempPortfolioAssetSplit_Test.RootPortfolioEntryID</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Composite key — must ALSO match on YearMonth.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Adviser identity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tempPortfolioAssetSplit_Test.BrokerEntityID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tempStaffDetails.EntityID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Same ID, different alias. Direct match.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Adviser ↔ region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tempStaffDetails.EntityID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SalesPerson.SalesPersonID</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color w:val="1A1A1A"/>
                <w:sz w:val="19"/>
                <w:szCs w:val="19"/>
              </w:rPr>
              <w:t xml:space="preserve">PARTIAL. </w:t>
            </w:r>
          </w:p>
          <w:p>
            <w:pPr>
              <w:spacing w:after="0" w:before="0"/>
            </w:pPr>
            <w:r>
              <w:rPr>
                <w:rFonts w:ascii="Arial" w:cs="Arial" w:eastAsia="Arial" w:hAnsi="Arial"/>
                <w:color w:val="1A1A1A"/>
                <w:sz w:val="20"/>
                <w:szCs w:val="20"/>
              </w:rPr>
              <w:t xml:space="preserve">EntityID cast to varchar(36). Type mismatch. Cross-DB.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Portfolio ↔ product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tempPortfolioDetails.RootInstrumentID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tempInstrumentDetails.InstrumentID (as Product)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Same lookup table as Fund. Aliased differently.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Portfolio ↔ fund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tempPortfolioDetails.InstrumentID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tempInstrumentDetails.InstrumentID (as Fund)</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Same lookup table as Product. Different join column.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Fund ↔ analytics tags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tempInstrumentDetails.InstrumentID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Investment_Analytics.Mapping.Security.SecurityID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Cross-DB. Direct ID match.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Client ↔ portfolio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tempEntityDetails.EntityID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tempPortfolioDetails.EntityID</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Direct FK. INNER JOIN = unmatched drops the row.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Client ↔ fee group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tempEntityDetails.EntityID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FeeGroupMember.EntityID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20"/>
                <w:szCs w:val="20"/>
              </w:rPr>
              <w:t xml:space="preserve">Non-deterministic TOP 1. Fix ORDER BY before trusting.</w:t>
            </w:r>
          </w:p>
        </w:tc>
      </w:tr>
    </w:tbl>
    <w:p>
      <w:pPr>
        <w:spacing w:after="0" w:before="10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BF3FB" w:val="clear"/>
            <w:tcMar>
              <w:top w:type="dxa" w:w="100"/>
              <w:left w:type="dxa" w:w="180"/>
              <w:bottom w:type="dxa" w:w="100"/>
              <w:right w:type="dxa" w:w="180"/>
            </w:tcMar>
          </w:tcPr>
          <w:p>
            <w:pPr>
              <w:spacing w:after="40" w:before="0"/>
            </w:pPr>
            <w:r>
              <w:rPr>
                <w:rFonts w:ascii="Arial" w:cs="Arial" w:eastAsia="Arial" w:hAnsi="Arial"/>
                <w:b/>
                <w:bCs/>
                <w:color w:val="2E75B6"/>
                <w:sz w:val="19"/>
                <w:szCs w:val="19"/>
              </w:rPr>
              <w:t xml:space="preserve">Key insight for unified DB design</w:t>
            </w:r>
          </w:p>
          <w:p>
            <w:pPr>
              <w:spacing w:after="0" w:before="0"/>
            </w:pPr>
            <w:r>
              <w:rPr>
                <w:rFonts w:ascii="Arial" w:cs="Arial" w:eastAsia="Arial" w:hAnsi="Arial"/>
                <w:color w:val="1A1A1A"/>
                <w:sz w:val="19"/>
                <w:szCs w:val="19"/>
              </w:rPr>
              <w:t xml:space="preserve">Three databases are in play: PharosDataWarehouse (core), Investment_Analytics (region + fund tags), WIM_FA_Staging (segmentation). A unified schema needs to decide whether to absorb these or federate them — and fix the type/collation mismatches at design time.</w:t>
            </w:r>
          </w:p>
        </w:tc>
      </w:tr>
    </w:tbl>
    <w:p>
      <w:pPr>
        <w:spacing w:after="0" w:before="200"/>
      </w:pPr>
      <w:r>
        <w:rPr>
          <w:rFonts w:ascii="Arial" w:cs="Arial" w:eastAsia="Arial" w:hAnsi="Arial"/>
          <w:color w:val="1A1A1A"/>
          <w:sz w:val="20"/>
          <w:szCs w:val="20"/>
        </w:rPr>
        <w:t xml:space="preserve"/>
      </w:r>
    </w:p>
    <w:p>
      <w:r>
        <w:br w:type="page"/>
      </w:r>
    </w:p>
    <w:p>
      <w:pPr>
        <w:pStyle w:val="Heading1"/>
        <w:spacing w:after="120" w:before="360"/>
      </w:pPr>
      <w:r>
        <w:rPr>
          <w:rFonts w:ascii="Arial" w:cs="Arial" w:eastAsia="Arial" w:hAnsi="Arial"/>
          <w:b/>
          <w:bCs/>
          <w:color w:val="1F4E79"/>
          <w:sz w:val="34"/>
          <w:szCs w:val="34"/>
        </w:rPr>
        <w:t xml:space="preserve">5.  Stored procedure — high-level flow</w:t>
      </w:r>
    </w:p>
    <w:p>
      <w:pPr>
        <w:spacing w:after="80" w:before="60"/>
      </w:pPr>
      <w:r>
        <w:rPr>
          <w:rFonts w:ascii="Arial" w:cs="Arial" w:eastAsia="Arial" w:hAnsi="Arial"/>
          <w:color w:val="1A1A1A"/>
          <w:sz w:val="20"/>
          <w:szCs w:val="20"/>
        </w:rPr>
        <w:t xml:space="preserve">Steps in execution order. The Flag column shows where the important risks and decision points are.</w:t>
      </w:r>
    </w:p>
    <w:p>
      <w:pPr>
        <w:spacing w:after="0" w:before="8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5560"/>
        <w:gridCol w:w="1100"/>
      </w:tblGrid>
      <w:tr>
        <w:trPr>
          <w:tblHeader/>
        </w:trP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Step</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What happens / why it matters</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Flag</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5560"/>
        <w:gridCol w:w="1100"/>
      </w:tblGrid>
      <w:tr>
        <w:tc>
          <w:tcPr>
            <w:tcW w:type="dxa" w:w="500"/>
            <w:tcBorders>
              <w:top w:val="single" w:color="CCCCCC" w:sz="1"/>
              <w:left w:val="single" w:color="CCCCCC" w:sz="1"/>
              <w:bottom w:val="single" w:color="CCCCCC" w:sz="1"/>
              <w:right w:val="single" w:color="CCCCCC" w:sz="1"/>
            </w:tcBorders>
            <w:shd w:fill="2E75B6" w:val="clear"/>
            <w:tcMar>
              <w:top w:type="dxa" w:w="100"/>
              <w:left w:type="dxa" w:w="80"/>
              <w:bottom w:type="dxa" w:w="100"/>
              <w:right w:type="dxa" w:w="80"/>
            </w:tcMar>
            <w:vAlign w:val="center"/>
          </w:tcPr>
          <w:p>
            <w:pPr>
              <w:jc w:val="center"/>
            </w:pPr>
            <w:r>
              <w:rPr>
                <w:rFonts w:ascii="Arial" w:cs="Arial" w:eastAsia="Arial" w:hAnsi="Arial"/>
                <w:b/>
                <w:bCs/>
                <w:color w:val="FFFFFF"/>
                <w:sz w:val="24"/>
                <w:szCs w:val="24"/>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color w:val="1A1A1A"/>
                <w:sz w:val="19"/>
                <w:szCs w:val="19"/>
              </w:rPr>
              <w:t xml:space="preserve">TRUNCATE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Output table fully emptied. Report is blank until INSERT completes.</w:t>
            </w:r>
          </w:p>
        </w:tc>
        <w:tc>
          <w:tcPr>
            <w:tcW w:type="dxa" w:w="1100"/>
            <w:tcBorders>
              <w:top w:val="single" w:color="CCCCCC" w:sz="1"/>
              <w:left w:val="single" w:color="CCCCCC" w:sz="1"/>
              <w:bottom w:val="single" w:color="CCCCCC" w:sz="1"/>
              <w:right w:val="single" w:color="CCCCCC" w:sz="1"/>
            </w:tcBorders>
            <w:shd w:fill="FFF2CC" w:val="clear"/>
            <w:tcMar>
              <w:top w:type="dxa" w:w="100"/>
              <w:left w:type="dxa" w:w="80"/>
              <w:bottom w:type="dxa" w:w="100"/>
              <w:right w:type="dxa" w:w="80"/>
            </w:tcMar>
            <w:vAlign w:val="center"/>
          </w:tcPr>
          <w:p>
            <w:pPr>
              <w:jc w:val="center"/>
            </w:pPr>
            <w:r>
              <w:rPr>
                <w:rFonts w:ascii="Arial" w:cs="Arial" w:eastAsia="Arial" w:hAnsi="Arial"/>
                <w:b/>
                <w:bCs/>
                <w:color w:val="7F6000"/>
                <w:sz w:val="17"/>
                <w:szCs w:val="17"/>
              </w:rPr>
              <w:t xml:space="preserve">WATCH</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5560"/>
        <w:gridCol w:w="1100"/>
      </w:tblGrid>
      <w:tr>
        <w:tc>
          <w:tcPr>
            <w:tcW w:type="dxa" w:w="500"/>
            <w:tcBorders>
              <w:top w:val="single" w:color="CCCCCC" w:sz="1"/>
              <w:left w:val="single" w:color="CCCCCC" w:sz="1"/>
              <w:bottom w:val="single" w:color="CCCCCC" w:sz="1"/>
              <w:right w:val="single" w:color="CCCCCC" w:sz="1"/>
            </w:tcBorders>
            <w:shd w:fill="375623" w:val="clear"/>
            <w:tcMar>
              <w:top w:type="dxa" w:w="100"/>
              <w:left w:type="dxa" w:w="80"/>
              <w:bottom w:type="dxa" w:w="100"/>
              <w:right w:type="dxa" w:w="80"/>
            </w:tcMar>
            <w:vAlign w:val="center"/>
          </w:tcPr>
          <w:p>
            <w:pPr>
              <w:jc w:val="center"/>
            </w:pPr>
            <w:r>
              <w:rPr>
                <w:rFonts w:ascii="Arial" w:cs="Arial" w:eastAsia="Arial" w:hAnsi="Arial"/>
                <w:b/>
                <w:bCs/>
                <w:color w:val="FFFFFF"/>
                <w:sz w:val="24"/>
                <w:szCs w:val="24"/>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color w:val="1A1A1A"/>
                <w:sz w:val="19"/>
                <w:szCs w:val="19"/>
              </w:rPr>
              <w:t xml:space="preserve">Portfolio anchor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Start from tempPortfolioDetails. Every row must exist here first.</w:t>
            </w:r>
          </w:p>
        </w:tc>
        <w:tc>
          <w:tcPr>
            <w:tcW w:type="dxa" w:w="1100"/>
            <w:tcBorders>
              <w:top w:val="single" w:color="CCCCCC" w:sz="1"/>
              <w:left w:val="single" w:color="CCCCCC" w:sz="1"/>
              <w:bottom w:val="single" w:color="CCCCCC" w:sz="1"/>
              <w:right w:val="single" w:color="CCCCCC" w:sz="1"/>
            </w:tcBorders>
            <w:shd w:fill="E2EFDA" w:val="clear"/>
            <w:tcMar>
              <w:top w:type="dxa" w:w="100"/>
              <w:left w:type="dxa" w:w="80"/>
              <w:bottom w:type="dxa" w:w="100"/>
              <w:right w:type="dxa" w:w="80"/>
            </w:tcMar>
            <w:vAlign w:val="center"/>
          </w:tcPr>
          <w:p>
            <w:pPr>
              <w:jc w:val="center"/>
            </w:pPr>
            <w:r>
              <w:rPr>
                <w:rFonts w:ascii="Arial" w:cs="Arial" w:eastAsia="Arial" w:hAnsi="Arial"/>
                <w:b/>
                <w:bCs/>
                <w:color w:val="375623"/>
                <w:sz w:val="17"/>
                <w:szCs w:val="17"/>
              </w:rPr>
              <w:t xml:space="preserve">OK</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5560"/>
        <w:gridCol w:w="1100"/>
      </w:tblGrid>
      <w:tr>
        <w:tc>
          <w:tcPr>
            <w:tcW w:type="dxa" w:w="500"/>
            <w:tcBorders>
              <w:top w:val="single" w:color="CCCCCC" w:sz="1"/>
              <w:left w:val="single" w:color="CCCCCC" w:sz="1"/>
              <w:bottom w:val="single" w:color="CCCCCC" w:sz="1"/>
              <w:right w:val="single" w:color="CCCCCC" w:sz="1"/>
            </w:tcBorders>
            <w:shd w:fill="375623" w:val="clear"/>
            <w:tcMar>
              <w:top w:type="dxa" w:w="100"/>
              <w:left w:type="dxa" w:w="80"/>
              <w:bottom w:type="dxa" w:w="100"/>
              <w:right w:type="dxa" w:w="80"/>
            </w:tcMar>
            <w:vAlign w:val="center"/>
          </w:tcPr>
          <w:p>
            <w:pPr>
              <w:jc w:val="center"/>
            </w:pPr>
            <w:r>
              <w:rPr>
                <w:rFonts w:ascii="Arial" w:cs="Arial" w:eastAsia="Arial" w:hAnsi="Arial"/>
                <w:b/>
                <w:bCs/>
                <w:color w:val="FFFFFF"/>
                <w:sz w:val="24"/>
                <w:szCs w:val="24"/>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color w:val="1A1A1A"/>
                <w:sz w:val="19"/>
                <w:szCs w:val="19"/>
              </w:rPr>
              <w:t xml:space="preserve">LEFT JOIN product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Attach product wrapper (RA, TFSA etc) via RootInstrumentID. Missing = NULLs, not dropped.</w:t>
            </w:r>
          </w:p>
        </w:tc>
        <w:tc>
          <w:tcPr>
            <w:tcW w:type="dxa" w:w="1100"/>
            <w:tcBorders>
              <w:top w:val="single" w:color="CCCCCC" w:sz="1"/>
              <w:left w:val="single" w:color="CCCCCC" w:sz="1"/>
              <w:bottom w:val="single" w:color="CCCCCC" w:sz="1"/>
              <w:right w:val="single" w:color="CCCCCC" w:sz="1"/>
            </w:tcBorders>
            <w:shd w:fill="E2EFDA" w:val="clear"/>
            <w:tcMar>
              <w:top w:type="dxa" w:w="100"/>
              <w:left w:type="dxa" w:w="80"/>
              <w:bottom w:type="dxa" w:w="100"/>
              <w:right w:type="dxa" w:w="80"/>
            </w:tcMar>
            <w:vAlign w:val="center"/>
          </w:tcPr>
          <w:p>
            <w:pPr>
              <w:jc w:val="center"/>
            </w:pPr>
            <w:r>
              <w:rPr>
                <w:rFonts w:ascii="Arial" w:cs="Arial" w:eastAsia="Arial" w:hAnsi="Arial"/>
                <w:b/>
                <w:bCs/>
                <w:color w:val="375623"/>
                <w:sz w:val="17"/>
                <w:szCs w:val="17"/>
              </w:rPr>
              <w:t xml:space="preserve">OK</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5560"/>
        <w:gridCol w:w="1100"/>
      </w:tblGrid>
      <w:tr>
        <w:tc>
          <w:tcPr>
            <w:tcW w:type="dxa" w:w="500"/>
            <w:tcBorders>
              <w:top w:val="single" w:color="CCCCCC" w:sz="1"/>
              <w:left w:val="single" w:color="CCCCCC" w:sz="1"/>
              <w:bottom w:val="single" w:color="CCCCCC" w:sz="1"/>
              <w:right w:val="single" w:color="CCCCCC" w:sz="1"/>
            </w:tcBorders>
            <w:shd w:fill="2E75B6" w:val="clear"/>
            <w:tcMar>
              <w:top w:type="dxa" w:w="100"/>
              <w:left w:type="dxa" w:w="80"/>
              <w:bottom w:type="dxa" w:w="100"/>
              <w:right w:type="dxa" w:w="80"/>
            </w:tcMar>
            <w:vAlign w:val="center"/>
          </w:tcPr>
          <w:p>
            <w:pPr>
              <w:jc w:val="center"/>
            </w:pPr>
            <w:r>
              <w:rPr>
                <w:rFonts w:ascii="Arial" w:cs="Arial" w:eastAsia="Arial" w:hAnsi="Arial"/>
                <w:b/>
                <w:bCs/>
                <w:color w:val="FFFFFF"/>
                <w:sz w:val="24"/>
                <w:szCs w:val="24"/>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color w:val="1A1A1A"/>
                <w:sz w:val="19"/>
                <w:szCs w:val="19"/>
              </w:rPr>
              <w:t xml:space="preserve">INNER JOIN valuations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Attach monthly ZAR values. HARD FILTER: In-Force + Managed + Market Value type. Non-zero investments only. 5-year window applied here. Missing valuation = row dropped.</w:t>
            </w:r>
          </w:p>
        </w:tc>
        <w:tc>
          <w:tcPr>
            <w:tcW w:type="dxa" w:w="1100"/>
            <w:tcBorders>
              <w:top w:val="single" w:color="CCCCCC" w:sz="1"/>
              <w:left w:val="single" w:color="CCCCCC" w:sz="1"/>
              <w:bottom w:val="single" w:color="CCCCCC" w:sz="1"/>
              <w:right w:val="single" w:color="CCCCCC" w:sz="1"/>
            </w:tcBorders>
            <w:shd w:fill="FFF2CC" w:val="clear"/>
            <w:tcMar>
              <w:top w:type="dxa" w:w="100"/>
              <w:left w:type="dxa" w:w="80"/>
              <w:bottom w:type="dxa" w:w="100"/>
              <w:right w:type="dxa" w:w="80"/>
            </w:tcMar>
            <w:vAlign w:val="center"/>
          </w:tcPr>
          <w:p>
            <w:pPr>
              <w:jc w:val="center"/>
            </w:pPr>
            <w:r>
              <w:rPr>
                <w:rFonts w:ascii="Arial" w:cs="Arial" w:eastAsia="Arial" w:hAnsi="Arial"/>
                <w:b/>
                <w:bCs/>
                <w:color w:val="7F6000"/>
                <w:sz w:val="17"/>
                <w:szCs w:val="17"/>
              </w:rPr>
              <w:t xml:space="preserve">WATCH</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5560"/>
        <w:gridCol w:w="1100"/>
      </w:tblGrid>
      <w:tr>
        <w:tc>
          <w:tcPr>
            <w:tcW w:type="dxa" w:w="500"/>
            <w:tcBorders>
              <w:top w:val="single" w:color="CCCCCC" w:sz="1"/>
              <w:left w:val="single" w:color="CCCCCC" w:sz="1"/>
              <w:bottom w:val="single" w:color="CCCCCC" w:sz="1"/>
              <w:right w:val="single" w:color="CCCCCC" w:sz="1"/>
            </w:tcBorders>
            <w:shd w:fill="375623" w:val="clear"/>
            <w:tcMar>
              <w:top w:type="dxa" w:w="100"/>
              <w:left w:type="dxa" w:w="80"/>
              <w:bottom w:type="dxa" w:w="100"/>
              <w:right w:type="dxa" w:w="80"/>
            </w:tcMar>
            <w:vAlign w:val="center"/>
          </w:tcPr>
          <w:p>
            <w:pPr>
              <w:jc w:val="center"/>
            </w:pPr>
            <w:r>
              <w:rPr>
                <w:rFonts w:ascii="Arial" w:cs="Arial" w:eastAsia="Arial" w:hAnsi="Arial"/>
                <w:b/>
                <w:bCs/>
                <w:color w:val="FFFFFF"/>
                <w:sz w:val="24"/>
                <w:szCs w:val="24"/>
              </w:rPr>
              <w:t xml:space="preserve">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color w:val="1A1A1A"/>
                <w:sz w:val="19"/>
                <w:szCs w:val="19"/>
              </w:rPr>
              <w:t xml:space="preserve">LEFT JOIN pricing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Attach commission % from tempCommissionPerMonth on PortfolioEntryID + YearMonth. Null if no pricing record.</w:t>
            </w:r>
          </w:p>
        </w:tc>
        <w:tc>
          <w:tcPr>
            <w:tcW w:type="dxa" w:w="1100"/>
            <w:tcBorders>
              <w:top w:val="single" w:color="CCCCCC" w:sz="1"/>
              <w:left w:val="single" w:color="CCCCCC" w:sz="1"/>
              <w:bottom w:val="single" w:color="CCCCCC" w:sz="1"/>
              <w:right w:val="single" w:color="CCCCCC" w:sz="1"/>
            </w:tcBorders>
            <w:shd w:fill="E2EFDA" w:val="clear"/>
            <w:tcMar>
              <w:top w:type="dxa" w:w="100"/>
              <w:left w:type="dxa" w:w="80"/>
              <w:bottom w:type="dxa" w:w="100"/>
              <w:right w:type="dxa" w:w="80"/>
            </w:tcMar>
            <w:vAlign w:val="center"/>
          </w:tcPr>
          <w:p>
            <w:pPr>
              <w:jc w:val="center"/>
            </w:pPr>
            <w:r>
              <w:rPr>
                <w:rFonts w:ascii="Arial" w:cs="Arial" w:eastAsia="Arial" w:hAnsi="Arial"/>
                <w:b/>
                <w:bCs/>
                <w:color w:val="375623"/>
                <w:sz w:val="17"/>
                <w:szCs w:val="17"/>
              </w:rPr>
              <w:t xml:space="preserve">OK</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5560"/>
        <w:gridCol w:w="1100"/>
      </w:tblGrid>
      <w:tr>
        <w:tc>
          <w:tcPr>
            <w:tcW w:type="dxa" w:w="500"/>
            <w:tcBorders>
              <w:top w:val="single" w:color="CCCCCC" w:sz="1"/>
              <w:left w:val="single" w:color="CCCCCC" w:sz="1"/>
              <w:bottom w:val="single" w:color="CCCCCC" w:sz="1"/>
              <w:right w:val="single" w:color="CCCCCC" w:sz="1"/>
            </w:tcBorders>
            <w:shd w:fill="2E75B6" w:val="clear"/>
            <w:tcMar>
              <w:top w:type="dxa" w:w="100"/>
              <w:left w:type="dxa" w:w="80"/>
              <w:bottom w:type="dxa" w:w="100"/>
              <w:right w:type="dxa" w:w="80"/>
            </w:tcMar>
            <w:vAlign w:val="center"/>
          </w:tcPr>
          <w:p>
            <w:pPr>
              <w:jc w:val="center"/>
            </w:pPr>
            <w:r>
              <w:rPr>
                <w:rFonts w:ascii="Arial" w:cs="Arial" w:eastAsia="Arial" w:hAnsi="Arial"/>
                <w:b/>
                <w:bCs/>
                <w:color w:val="FFFFFF"/>
                <w:sz w:val="24"/>
                <w:szCs w:val="24"/>
              </w:rPr>
              <w:t xml:space="preserve">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color w:val="1A1A1A"/>
                <w:sz w:val="19"/>
                <w:szCs w:val="19"/>
              </w:rPr>
              <w:t xml:space="preserve">LEFT JOIN adviser split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Composite key: RootPortfolioEntryID + YearMonth. Creates multiple rows per portfolio for split advisers. This is where the per-adviser row multiplication happens.</w:t>
            </w:r>
          </w:p>
        </w:tc>
        <w:tc>
          <w:tcPr>
            <w:tcW w:type="dxa" w:w="1100"/>
            <w:tcBorders>
              <w:top w:val="single" w:color="CCCCCC" w:sz="1"/>
              <w:left w:val="single" w:color="CCCCCC" w:sz="1"/>
              <w:bottom w:val="single" w:color="CCCCCC" w:sz="1"/>
              <w:right w:val="single" w:color="CCCCCC" w:sz="1"/>
            </w:tcBorders>
            <w:shd w:fill="FFF2CC" w:val="clear"/>
            <w:tcMar>
              <w:top w:type="dxa" w:w="100"/>
              <w:left w:type="dxa" w:w="80"/>
              <w:bottom w:type="dxa" w:w="100"/>
              <w:right w:type="dxa" w:w="80"/>
            </w:tcMar>
            <w:vAlign w:val="center"/>
          </w:tcPr>
          <w:p>
            <w:pPr>
              <w:jc w:val="center"/>
            </w:pPr>
            <w:r>
              <w:rPr>
                <w:rFonts w:ascii="Arial" w:cs="Arial" w:eastAsia="Arial" w:hAnsi="Arial"/>
                <w:b/>
                <w:bCs/>
                <w:color w:val="7F6000"/>
                <w:sz w:val="17"/>
                <w:szCs w:val="17"/>
              </w:rPr>
              <w:t xml:space="preserve">WATCH</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5560"/>
        <w:gridCol w:w="1100"/>
      </w:tblGrid>
      <w:tr>
        <w:tc>
          <w:tcPr>
            <w:tcW w:type="dxa" w:w="500"/>
            <w:tcBorders>
              <w:top w:val="single" w:color="CCCCCC" w:sz="1"/>
              <w:left w:val="single" w:color="CCCCCC" w:sz="1"/>
              <w:bottom w:val="single" w:color="CCCCCC" w:sz="1"/>
              <w:right w:val="single" w:color="CCCCCC" w:sz="1"/>
            </w:tcBorders>
            <w:shd w:fill="375623" w:val="clear"/>
            <w:tcMar>
              <w:top w:type="dxa" w:w="100"/>
              <w:left w:type="dxa" w:w="80"/>
              <w:bottom w:type="dxa" w:w="100"/>
              <w:right w:type="dxa" w:w="80"/>
            </w:tcMar>
            <w:vAlign w:val="center"/>
          </w:tcPr>
          <w:p>
            <w:pPr>
              <w:jc w:val="center"/>
            </w:pPr>
            <w:r>
              <w:rPr>
                <w:rFonts w:ascii="Arial" w:cs="Arial" w:eastAsia="Arial" w:hAnsi="Arial"/>
                <w:b/>
                <w:bCs/>
                <w:color w:val="FFFFFF"/>
                <w:sz w:val="24"/>
                <w:szCs w:val="24"/>
              </w:rPr>
              <w:t xml:space="preserve">7</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color w:val="1A1A1A"/>
                <w:sz w:val="19"/>
                <w:szCs w:val="19"/>
              </w:rPr>
              <w:t xml:space="preserve">LEFT JOIN adviser details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Attach name, FNumber, brand from tempStaffDetails. BrokerEntityID = EntityID.</w:t>
            </w:r>
          </w:p>
        </w:tc>
        <w:tc>
          <w:tcPr>
            <w:tcW w:type="dxa" w:w="1100"/>
            <w:tcBorders>
              <w:top w:val="single" w:color="CCCCCC" w:sz="1"/>
              <w:left w:val="single" w:color="CCCCCC" w:sz="1"/>
              <w:bottom w:val="single" w:color="CCCCCC" w:sz="1"/>
              <w:right w:val="single" w:color="CCCCCC" w:sz="1"/>
            </w:tcBorders>
            <w:shd w:fill="E2EFDA" w:val="clear"/>
            <w:tcMar>
              <w:top w:type="dxa" w:w="100"/>
              <w:left w:type="dxa" w:w="80"/>
              <w:bottom w:type="dxa" w:w="100"/>
              <w:right w:type="dxa" w:w="80"/>
            </w:tcMar>
            <w:vAlign w:val="center"/>
          </w:tcPr>
          <w:p>
            <w:pPr>
              <w:jc w:val="center"/>
            </w:pPr>
            <w:r>
              <w:rPr>
                <w:rFonts w:ascii="Arial" w:cs="Arial" w:eastAsia="Arial" w:hAnsi="Arial"/>
                <w:b/>
                <w:bCs/>
                <w:color w:val="375623"/>
                <w:sz w:val="17"/>
                <w:szCs w:val="17"/>
              </w:rPr>
              <w:t xml:space="preserve">OK</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5560"/>
        <w:gridCol w:w="1100"/>
      </w:tblGrid>
      <w:tr>
        <w:tc>
          <w:tcPr>
            <w:tcW w:type="dxa" w:w="500"/>
            <w:tcBorders>
              <w:top w:val="single" w:color="CCCCCC" w:sz="1"/>
              <w:left w:val="single" w:color="CCCCCC" w:sz="1"/>
              <w:bottom w:val="single" w:color="CCCCCC" w:sz="1"/>
              <w:right w:val="single" w:color="CCCCCC" w:sz="1"/>
            </w:tcBorders>
            <w:shd w:fill="375623" w:val="clear"/>
            <w:tcMar>
              <w:top w:type="dxa" w:w="100"/>
              <w:left w:type="dxa" w:w="80"/>
              <w:bottom w:type="dxa" w:w="100"/>
              <w:right w:type="dxa" w:w="80"/>
            </w:tcMar>
            <w:vAlign w:val="center"/>
          </w:tcPr>
          <w:p>
            <w:pPr>
              <w:jc w:val="center"/>
            </w:pPr>
            <w:r>
              <w:rPr>
                <w:rFonts w:ascii="Arial" w:cs="Arial" w:eastAsia="Arial" w:hAnsi="Arial"/>
                <w:b/>
                <w:bCs/>
                <w:color w:val="FFFFFF"/>
                <w:sz w:val="24"/>
                <w:szCs w:val="24"/>
              </w:rPr>
              <w:t xml:space="preserve">8</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color w:val="1A1A1A"/>
                <w:sz w:val="19"/>
                <w:szCs w:val="19"/>
              </w:rPr>
              <w:t xml:space="preserve">LEFT JOIN adviser role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From tempClientStaffRelationNew. Grouped to prevent fan-out. Conservation portfolios hard-coded to 'Financial Adviser'.</w:t>
            </w:r>
          </w:p>
        </w:tc>
        <w:tc>
          <w:tcPr>
            <w:tcW w:type="dxa" w:w="1100"/>
            <w:tcBorders>
              <w:top w:val="single" w:color="CCCCCC" w:sz="1"/>
              <w:left w:val="single" w:color="CCCCCC" w:sz="1"/>
              <w:bottom w:val="single" w:color="CCCCCC" w:sz="1"/>
              <w:right w:val="single" w:color="CCCCCC" w:sz="1"/>
            </w:tcBorders>
            <w:shd w:fill="E2EFDA" w:val="clear"/>
            <w:tcMar>
              <w:top w:type="dxa" w:w="100"/>
              <w:left w:type="dxa" w:w="80"/>
              <w:bottom w:type="dxa" w:w="100"/>
              <w:right w:type="dxa" w:w="80"/>
            </w:tcMar>
            <w:vAlign w:val="center"/>
          </w:tcPr>
          <w:p>
            <w:pPr>
              <w:jc w:val="center"/>
            </w:pPr>
            <w:r>
              <w:rPr>
                <w:rFonts w:ascii="Arial" w:cs="Arial" w:eastAsia="Arial" w:hAnsi="Arial"/>
                <w:b/>
                <w:bCs/>
                <w:color w:val="375623"/>
                <w:sz w:val="17"/>
                <w:szCs w:val="17"/>
              </w:rPr>
              <w:t xml:space="preserve">OK</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5560"/>
        <w:gridCol w:w="1100"/>
      </w:tblGrid>
      <w:tr>
        <w:tc>
          <w:tcPr>
            <w:tcW w:type="dxa" w:w="500"/>
            <w:tcBorders>
              <w:top w:val="single" w:color="CCCCCC" w:sz="1"/>
              <w:left w:val="single" w:color="CCCCCC" w:sz="1"/>
              <w:bottom w:val="single" w:color="CCCCCC" w:sz="1"/>
              <w:right w:val="single" w:color="CCCCCC" w:sz="1"/>
            </w:tcBorders>
            <w:shd w:fill="2E75B6" w:val="clear"/>
            <w:tcMar>
              <w:top w:type="dxa" w:w="100"/>
              <w:left w:type="dxa" w:w="80"/>
              <w:bottom w:type="dxa" w:w="100"/>
              <w:right w:type="dxa" w:w="80"/>
            </w:tcMar>
            <w:vAlign w:val="center"/>
          </w:tcPr>
          <w:p>
            <w:pPr>
              <w:jc w:val="center"/>
            </w:pPr>
            <w:r>
              <w:rPr>
                <w:rFonts w:ascii="Arial" w:cs="Arial" w:eastAsia="Arial" w:hAnsi="Arial"/>
                <w:b/>
                <w:bCs/>
                <w:color w:val="FFFFFF"/>
                <w:sz w:val="24"/>
                <w:szCs w:val="24"/>
              </w:rPr>
              <w:t xml:space="preserve">9</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color w:val="1A1A1A"/>
                <w:sz w:val="19"/>
                <w:szCs w:val="19"/>
              </w:rPr>
              <w:t xml:space="preserve">INNER JOIN client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Attach client from tempEntityDetails. HARD FILTER: FNB Trust (CompanyL=7) excluded. Missing client = row dropped. Second hard exclusion point.</w:t>
            </w:r>
          </w:p>
        </w:tc>
        <w:tc>
          <w:tcPr>
            <w:tcW w:type="dxa" w:w="1100"/>
            <w:tcBorders>
              <w:top w:val="single" w:color="CCCCCC" w:sz="1"/>
              <w:left w:val="single" w:color="CCCCCC" w:sz="1"/>
              <w:bottom w:val="single" w:color="CCCCCC" w:sz="1"/>
              <w:right w:val="single" w:color="CCCCCC" w:sz="1"/>
            </w:tcBorders>
            <w:shd w:fill="FFF2CC" w:val="clear"/>
            <w:tcMar>
              <w:top w:type="dxa" w:w="100"/>
              <w:left w:type="dxa" w:w="80"/>
              <w:bottom w:type="dxa" w:w="100"/>
              <w:right w:type="dxa" w:w="80"/>
            </w:tcMar>
            <w:vAlign w:val="center"/>
          </w:tcPr>
          <w:p>
            <w:pPr>
              <w:jc w:val="center"/>
            </w:pPr>
            <w:r>
              <w:rPr>
                <w:rFonts w:ascii="Arial" w:cs="Arial" w:eastAsia="Arial" w:hAnsi="Arial"/>
                <w:b/>
                <w:bCs/>
                <w:color w:val="7F6000"/>
                <w:sz w:val="17"/>
                <w:szCs w:val="17"/>
              </w:rPr>
              <w:t xml:space="preserve">WATCH</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5560"/>
        <w:gridCol w:w="1100"/>
      </w:tblGrid>
      <w:tr>
        <w:tc>
          <w:tcPr>
            <w:tcW w:type="dxa" w:w="500"/>
            <w:tcBorders>
              <w:top w:val="single" w:color="CCCCCC" w:sz="1"/>
              <w:left w:val="single" w:color="CCCCCC" w:sz="1"/>
              <w:bottom w:val="single" w:color="CCCCCC" w:sz="1"/>
              <w:right w:val="single" w:color="CCCCCC" w:sz="1"/>
            </w:tcBorders>
            <w:shd w:fill="C00000" w:val="clear"/>
            <w:tcMar>
              <w:top w:type="dxa" w:w="100"/>
              <w:left w:type="dxa" w:w="80"/>
              <w:bottom w:type="dxa" w:w="100"/>
              <w:right w:type="dxa" w:w="80"/>
            </w:tcMar>
            <w:vAlign w:val="center"/>
          </w:tcPr>
          <w:p>
            <w:pPr>
              <w:jc w:val="center"/>
            </w:pPr>
            <w:r>
              <w:rPr>
                <w:rFonts w:ascii="Arial" w:cs="Arial" w:eastAsia="Arial" w:hAnsi="Arial"/>
                <w:b/>
                <w:bCs/>
                <w:color w:val="FFFFFF"/>
                <w:sz w:val="24"/>
                <w:szCs w:val="24"/>
              </w:rPr>
              <w:t xml:space="preserve">10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color w:val="1A1A1A"/>
                <w:sz w:val="19"/>
                <w:szCs w:val="19"/>
              </w:rPr>
              <w:t xml:space="preserve">LEFT JOIN segmentation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UCN → CUST_NO with collation cast. NO YEARMONTH FILTER. Multiple segment records = row duplication = inflated AUA.</w:t>
            </w:r>
          </w:p>
        </w:tc>
        <w:tc>
          <w:tcPr>
            <w:tcW w:type="dxa" w:w="1100"/>
            <w:tcBorders>
              <w:top w:val="single" w:color="CCCCCC" w:sz="1"/>
              <w:left w:val="single" w:color="CCCCCC" w:sz="1"/>
              <w:bottom w:val="single" w:color="CCCCCC" w:sz="1"/>
              <w:right w:val="single" w:color="CCCCCC" w:sz="1"/>
            </w:tcBorders>
            <w:shd w:fill="FFE7E7" w:val="clear"/>
            <w:tcMar>
              <w:top w:type="dxa" w:w="100"/>
              <w:left w:type="dxa" w:w="80"/>
              <w:bottom w:type="dxa" w:w="100"/>
              <w:right w:type="dxa" w:w="80"/>
            </w:tcMar>
            <w:vAlign w:val="center"/>
          </w:tcPr>
          <w:p>
            <w:pPr>
              <w:jc w:val="center"/>
            </w:pPr>
            <w:r>
              <w:rPr>
                <w:rFonts w:ascii="Arial" w:cs="Arial" w:eastAsia="Arial" w:hAnsi="Arial"/>
                <w:b/>
                <w:bCs/>
                <w:color w:val="C00000"/>
                <w:sz w:val="17"/>
                <w:szCs w:val="17"/>
              </w:rPr>
              <w:t xml:space="preserve">RISK</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5560"/>
        <w:gridCol w:w="1100"/>
      </w:tblGrid>
      <w:tr>
        <w:tc>
          <w:tcPr>
            <w:tcW w:type="dxa" w:w="500"/>
            <w:tcBorders>
              <w:top w:val="single" w:color="CCCCCC" w:sz="1"/>
              <w:left w:val="single" w:color="CCCCCC" w:sz="1"/>
              <w:bottom w:val="single" w:color="CCCCCC" w:sz="1"/>
              <w:right w:val="single" w:color="CCCCCC" w:sz="1"/>
            </w:tcBorders>
            <w:shd w:fill="375623" w:val="clear"/>
            <w:tcMar>
              <w:top w:type="dxa" w:w="100"/>
              <w:left w:type="dxa" w:w="80"/>
              <w:bottom w:type="dxa" w:w="100"/>
              <w:right w:type="dxa" w:w="80"/>
            </w:tcMar>
            <w:vAlign w:val="center"/>
          </w:tcPr>
          <w:p>
            <w:pPr>
              <w:jc w:val="center"/>
            </w:pPr>
            <w:r>
              <w:rPr>
                <w:rFonts w:ascii="Arial" w:cs="Arial" w:eastAsia="Arial" w:hAnsi="Arial"/>
                <w:b/>
                <w:bCs/>
                <w:color w:val="FFFFFF"/>
                <w:sz w:val="24"/>
                <w:szCs w:val="24"/>
              </w:rPr>
              <w:t xml:space="preserve">11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color w:val="1A1A1A"/>
                <w:sz w:val="19"/>
                <w:szCs w:val="19"/>
              </w:rPr>
              <w:t xml:space="preserve">LEFT JOIN fund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Attach fund details via InstrumentID. Same table as Step 3, different alias.</w:t>
            </w:r>
          </w:p>
        </w:tc>
        <w:tc>
          <w:tcPr>
            <w:tcW w:type="dxa" w:w="1100"/>
            <w:tcBorders>
              <w:top w:val="single" w:color="CCCCCC" w:sz="1"/>
              <w:left w:val="single" w:color="CCCCCC" w:sz="1"/>
              <w:bottom w:val="single" w:color="CCCCCC" w:sz="1"/>
              <w:right w:val="single" w:color="CCCCCC" w:sz="1"/>
            </w:tcBorders>
            <w:shd w:fill="E2EFDA" w:val="clear"/>
            <w:tcMar>
              <w:top w:type="dxa" w:w="100"/>
              <w:left w:type="dxa" w:w="80"/>
              <w:bottom w:type="dxa" w:w="100"/>
              <w:right w:type="dxa" w:w="80"/>
            </w:tcMar>
            <w:vAlign w:val="center"/>
          </w:tcPr>
          <w:p>
            <w:pPr>
              <w:jc w:val="center"/>
            </w:pPr>
            <w:r>
              <w:rPr>
                <w:rFonts w:ascii="Arial" w:cs="Arial" w:eastAsia="Arial" w:hAnsi="Arial"/>
                <w:b/>
                <w:bCs/>
                <w:color w:val="375623"/>
                <w:sz w:val="17"/>
                <w:szCs w:val="17"/>
              </w:rPr>
              <w:t xml:space="preserve">OK</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5560"/>
        <w:gridCol w:w="1100"/>
      </w:tblGrid>
      <w:tr>
        <w:tc>
          <w:tcPr>
            <w:tcW w:type="dxa" w:w="500"/>
            <w:tcBorders>
              <w:top w:val="single" w:color="CCCCCC" w:sz="1"/>
              <w:left w:val="single" w:color="CCCCCC" w:sz="1"/>
              <w:bottom w:val="single" w:color="CCCCCC" w:sz="1"/>
              <w:right w:val="single" w:color="CCCCCC" w:sz="1"/>
            </w:tcBorders>
            <w:shd w:fill="2E75B6" w:val="clear"/>
            <w:tcMar>
              <w:top w:type="dxa" w:w="100"/>
              <w:left w:type="dxa" w:w="80"/>
              <w:bottom w:type="dxa" w:w="100"/>
              <w:right w:type="dxa" w:w="80"/>
            </w:tcMar>
            <w:vAlign w:val="center"/>
          </w:tcPr>
          <w:p>
            <w:pPr>
              <w:jc w:val="center"/>
            </w:pPr>
            <w:r>
              <w:rPr>
                <w:rFonts w:ascii="Arial" w:cs="Arial" w:eastAsia="Arial" w:hAnsi="Arial"/>
                <w:b/>
                <w:bCs/>
                <w:color w:val="FFFFFF"/>
                <w:sz w:val="24"/>
                <w:szCs w:val="24"/>
              </w:rPr>
              <w:t xml:space="preserve">12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color w:val="1A1A1A"/>
                <w:sz w:val="19"/>
                <w:szCs w:val="19"/>
              </w:rPr>
              <w:t xml:space="preserve">LEFT JOIN region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BrokerEntityID cast to varchar(36) → SalesPerson.SalesPersonID. Cross-DB. Unmapped advisers = 'x-unallocated'.</w:t>
            </w:r>
          </w:p>
        </w:tc>
        <w:tc>
          <w:tcPr>
            <w:tcW w:type="dxa" w:w="1100"/>
            <w:tcBorders>
              <w:top w:val="single" w:color="CCCCCC" w:sz="1"/>
              <w:left w:val="single" w:color="CCCCCC" w:sz="1"/>
              <w:bottom w:val="single" w:color="CCCCCC" w:sz="1"/>
              <w:right w:val="single" w:color="CCCCCC" w:sz="1"/>
            </w:tcBorders>
            <w:shd w:fill="FFF2CC" w:val="clear"/>
            <w:tcMar>
              <w:top w:type="dxa" w:w="100"/>
              <w:left w:type="dxa" w:w="80"/>
              <w:bottom w:type="dxa" w:w="100"/>
              <w:right w:type="dxa" w:w="80"/>
            </w:tcMar>
            <w:vAlign w:val="center"/>
          </w:tcPr>
          <w:p>
            <w:pPr>
              <w:jc w:val="center"/>
            </w:pPr>
            <w:r>
              <w:rPr>
                <w:rFonts w:ascii="Arial" w:cs="Arial" w:eastAsia="Arial" w:hAnsi="Arial"/>
                <w:b/>
                <w:bCs/>
                <w:color w:val="7F6000"/>
                <w:sz w:val="17"/>
                <w:szCs w:val="17"/>
              </w:rPr>
              <w:t xml:space="preserve">WATCH</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5560"/>
        <w:gridCol w:w="1100"/>
      </w:tblGrid>
      <w:tr>
        <w:tc>
          <w:tcPr>
            <w:tcW w:type="dxa" w:w="500"/>
            <w:tcBorders>
              <w:top w:val="single" w:color="CCCCCC" w:sz="1"/>
              <w:left w:val="single" w:color="CCCCCC" w:sz="1"/>
              <w:bottom w:val="single" w:color="CCCCCC" w:sz="1"/>
              <w:right w:val="single" w:color="CCCCCC" w:sz="1"/>
            </w:tcBorders>
            <w:shd w:fill="375623" w:val="clear"/>
            <w:tcMar>
              <w:top w:type="dxa" w:w="100"/>
              <w:left w:type="dxa" w:w="80"/>
              <w:bottom w:type="dxa" w:w="100"/>
              <w:right w:type="dxa" w:w="80"/>
            </w:tcMar>
            <w:vAlign w:val="center"/>
          </w:tcPr>
          <w:p>
            <w:pPr>
              <w:jc w:val="center"/>
            </w:pPr>
            <w:r>
              <w:rPr>
                <w:rFonts w:ascii="Arial" w:cs="Arial" w:eastAsia="Arial" w:hAnsi="Arial"/>
                <w:b/>
                <w:bCs/>
                <w:color w:val="FFFFFF"/>
                <w:sz w:val="24"/>
                <w:szCs w:val="24"/>
              </w:rPr>
              <w:t xml:space="preserve">13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color w:val="1A1A1A"/>
                <w:sz w:val="19"/>
                <w:szCs w:val="19"/>
              </w:rPr>
              <w:t xml:space="preserve">LEFT JOIN co-manager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Attach up to 2 co-managers. Informational. No value impact.</w:t>
            </w:r>
          </w:p>
        </w:tc>
        <w:tc>
          <w:tcPr>
            <w:tcW w:type="dxa" w:w="1100"/>
            <w:tcBorders>
              <w:top w:val="single" w:color="CCCCCC" w:sz="1"/>
              <w:left w:val="single" w:color="CCCCCC" w:sz="1"/>
              <w:bottom w:val="single" w:color="CCCCCC" w:sz="1"/>
              <w:right w:val="single" w:color="CCCCCC" w:sz="1"/>
            </w:tcBorders>
            <w:shd w:fill="E2EFDA" w:val="clear"/>
            <w:tcMar>
              <w:top w:type="dxa" w:w="100"/>
              <w:left w:type="dxa" w:w="80"/>
              <w:bottom w:type="dxa" w:w="100"/>
              <w:right w:type="dxa" w:w="80"/>
            </w:tcMar>
            <w:vAlign w:val="center"/>
          </w:tcPr>
          <w:p>
            <w:pPr>
              <w:jc w:val="center"/>
            </w:pPr>
            <w:r>
              <w:rPr>
                <w:rFonts w:ascii="Arial" w:cs="Arial" w:eastAsia="Arial" w:hAnsi="Arial"/>
                <w:b/>
                <w:bCs/>
                <w:color w:val="375623"/>
                <w:sz w:val="17"/>
                <w:szCs w:val="17"/>
              </w:rPr>
              <w:t xml:space="preserve">OK</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5560"/>
        <w:gridCol w:w="1100"/>
      </w:tblGrid>
      <w:tr>
        <w:tc>
          <w:tcPr>
            <w:tcW w:type="dxa" w:w="500"/>
            <w:tcBorders>
              <w:top w:val="single" w:color="CCCCCC" w:sz="1"/>
              <w:left w:val="single" w:color="CCCCCC" w:sz="1"/>
              <w:bottom w:val="single" w:color="CCCCCC" w:sz="1"/>
              <w:right w:val="single" w:color="CCCCCC" w:sz="1"/>
            </w:tcBorders>
            <w:shd w:fill="375623" w:val="clear"/>
            <w:tcMar>
              <w:top w:type="dxa" w:w="100"/>
              <w:left w:type="dxa" w:w="80"/>
              <w:bottom w:type="dxa" w:w="100"/>
              <w:right w:type="dxa" w:w="80"/>
            </w:tcMar>
            <w:vAlign w:val="center"/>
          </w:tcPr>
          <w:p>
            <w:pPr>
              <w:jc w:val="center"/>
            </w:pPr>
            <w:r>
              <w:rPr>
                <w:rFonts w:ascii="Arial" w:cs="Arial" w:eastAsia="Arial" w:hAnsi="Arial"/>
                <w:b/>
                <w:bCs/>
                <w:color w:val="FFFFFF"/>
                <w:sz w:val="24"/>
                <w:szCs w:val="24"/>
              </w:rPr>
              <w:t xml:space="preserve">14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color w:val="1A1A1A"/>
                <w:sz w:val="19"/>
                <w:szCs w:val="19"/>
              </w:rPr>
              <w:t xml:space="preserve">LEFT JOIN fund analytics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Fund InstrumentID → SecurityID in Investment_Analytics. Cross-DB. Overlay tags only.</w:t>
            </w:r>
          </w:p>
        </w:tc>
        <w:tc>
          <w:tcPr>
            <w:tcW w:type="dxa" w:w="1100"/>
            <w:tcBorders>
              <w:top w:val="single" w:color="CCCCCC" w:sz="1"/>
              <w:left w:val="single" w:color="CCCCCC" w:sz="1"/>
              <w:bottom w:val="single" w:color="CCCCCC" w:sz="1"/>
              <w:right w:val="single" w:color="CCCCCC" w:sz="1"/>
            </w:tcBorders>
            <w:shd w:fill="E2EFDA" w:val="clear"/>
            <w:tcMar>
              <w:top w:type="dxa" w:w="100"/>
              <w:left w:type="dxa" w:w="80"/>
              <w:bottom w:type="dxa" w:w="100"/>
              <w:right w:type="dxa" w:w="80"/>
            </w:tcMar>
            <w:vAlign w:val="center"/>
          </w:tcPr>
          <w:p>
            <w:pPr>
              <w:jc w:val="center"/>
            </w:pPr>
            <w:r>
              <w:rPr>
                <w:rFonts w:ascii="Arial" w:cs="Arial" w:eastAsia="Arial" w:hAnsi="Arial"/>
                <w:b/>
                <w:bCs/>
                <w:color w:val="375623"/>
                <w:sz w:val="17"/>
                <w:szCs w:val="17"/>
              </w:rPr>
              <w:t xml:space="preserve">OK</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5560"/>
        <w:gridCol w:w="1100"/>
      </w:tblGrid>
      <w:tr>
        <w:tc>
          <w:tcPr>
            <w:tcW w:type="dxa" w:w="500"/>
            <w:tcBorders>
              <w:top w:val="single" w:color="CCCCCC" w:sz="1"/>
              <w:left w:val="single" w:color="CCCCCC" w:sz="1"/>
              <w:bottom w:val="single" w:color="CCCCCC" w:sz="1"/>
              <w:right w:val="single" w:color="CCCCCC" w:sz="1"/>
            </w:tcBorders>
            <w:shd w:fill="C55A11" w:val="clear"/>
            <w:tcMar>
              <w:top w:type="dxa" w:w="100"/>
              <w:left w:type="dxa" w:w="80"/>
              <w:bottom w:type="dxa" w:w="100"/>
              <w:right w:type="dxa" w:w="80"/>
            </w:tcMar>
            <w:vAlign w:val="center"/>
          </w:tcPr>
          <w:p>
            <w:pPr>
              <w:jc w:val="center"/>
            </w:pPr>
            <w:r>
              <w:rPr>
                <w:rFonts w:ascii="Arial" w:cs="Arial" w:eastAsia="Arial" w:hAnsi="Arial"/>
                <w:b/>
                <w:bCs/>
                <w:color w:val="FFFFFF"/>
                <w:sz w:val="24"/>
                <w:szCs w:val="24"/>
              </w:rPr>
              <w:t xml:space="preserve">15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color w:val="1A1A1A"/>
                <w:sz w:val="19"/>
                <w:szCs w:val="19"/>
              </w:rPr>
              <w:t xml:space="preserve">OUTER APPLY fee group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TOP 1 from FeeGroupMember by EntityID. No ORDER BY = non-deterministic.</w:t>
            </w:r>
          </w:p>
        </w:tc>
        <w:tc>
          <w:tcPr>
            <w:tcW w:type="dxa" w:w="1100"/>
            <w:tcBorders>
              <w:top w:val="single" w:color="CCCCCC" w:sz="1"/>
              <w:left w:val="single" w:color="CCCCCC" w:sz="1"/>
              <w:bottom w:val="single" w:color="CCCCCC" w:sz="1"/>
              <w:right w:val="single" w:color="CCCCCC" w:sz="1"/>
            </w:tcBorders>
            <w:shd w:fill="FFE7E7" w:val="clear"/>
            <w:tcMar>
              <w:top w:type="dxa" w:w="100"/>
              <w:left w:type="dxa" w:w="80"/>
              <w:bottom w:type="dxa" w:w="100"/>
              <w:right w:type="dxa" w:w="80"/>
            </w:tcMar>
            <w:vAlign w:val="center"/>
          </w:tcPr>
          <w:p>
            <w:pPr>
              <w:jc w:val="center"/>
            </w:pPr>
            <w:r>
              <w:rPr>
                <w:rFonts w:ascii="Arial" w:cs="Arial" w:eastAsia="Arial" w:hAnsi="Arial"/>
                <w:b/>
                <w:bCs/>
                <w:color w:val="C00000"/>
                <w:sz w:val="17"/>
                <w:szCs w:val="17"/>
              </w:rPr>
              <w:t xml:space="preserve">RISK</w:t>
            </w:r>
          </w:p>
        </w:tc>
      </w:tr>
    </w:tbl>
    <w:p>
      <w:pPr>
        <w:spacing w:after="0" w:before="2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5560"/>
        <w:gridCol w:w="1100"/>
      </w:tblGrid>
      <w:tr>
        <w:tc>
          <w:tcPr>
            <w:tcW w:type="dxa" w:w="500"/>
            <w:tcBorders>
              <w:top w:val="single" w:color="CCCCCC" w:sz="1"/>
              <w:left w:val="single" w:color="CCCCCC" w:sz="1"/>
              <w:bottom w:val="single" w:color="CCCCCC" w:sz="1"/>
              <w:right w:val="single" w:color="CCCCCC" w:sz="1"/>
            </w:tcBorders>
            <w:shd w:fill="375623" w:val="clear"/>
            <w:tcMar>
              <w:top w:type="dxa" w:w="100"/>
              <w:left w:type="dxa" w:w="80"/>
              <w:bottom w:type="dxa" w:w="100"/>
              <w:right w:type="dxa" w:w="80"/>
            </w:tcMar>
            <w:vAlign w:val="center"/>
          </w:tcPr>
          <w:p>
            <w:pPr>
              <w:jc w:val="center"/>
            </w:pPr>
            <w:r>
              <w:rPr>
                <w:rFonts w:ascii="Arial" w:cs="Arial" w:eastAsia="Arial" w:hAnsi="Arial"/>
                <w:b/>
                <w:bCs/>
                <w:color w:val="FFFFFF"/>
                <w:sz w:val="24"/>
                <w:szCs w:val="24"/>
              </w:rPr>
              <w:t xml:space="preserve">16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color w:val="1A1A1A"/>
                <w:sz w:val="19"/>
                <w:szCs w:val="19"/>
              </w:rPr>
              <w:t xml:space="preserve">INSERT + calculations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MarketValue = AmountConverted × SplitPercentage / 100. MarketValueOriginalCurrency = MarketValue × ExchangeRate. Written to output table.</w:t>
            </w:r>
          </w:p>
        </w:tc>
        <w:tc>
          <w:tcPr>
            <w:tcW w:type="dxa" w:w="1100"/>
            <w:tcBorders>
              <w:top w:val="single" w:color="CCCCCC" w:sz="1"/>
              <w:left w:val="single" w:color="CCCCCC" w:sz="1"/>
              <w:bottom w:val="single" w:color="CCCCCC" w:sz="1"/>
              <w:right w:val="single" w:color="CCCCCC" w:sz="1"/>
            </w:tcBorders>
            <w:shd w:fill="E2EFDA" w:val="clear"/>
            <w:tcMar>
              <w:top w:type="dxa" w:w="100"/>
              <w:left w:type="dxa" w:w="80"/>
              <w:bottom w:type="dxa" w:w="100"/>
              <w:right w:type="dxa" w:w="80"/>
            </w:tcMar>
            <w:vAlign w:val="center"/>
          </w:tcPr>
          <w:p>
            <w:pPr>
              <w:jc w:val="center"/>
            </w:pPr>
            <w:r>
              <w:rPr>
                <w:rFonts w:ascii="Arial" w:cs="Arial" w:eastAsia="Arial" w:hAnsi="Arial"/>
                <w:b/>
                <w:bCs/>
                <w:color w:val="375623"/>
                <w:sz w:val="17"/>
                <w:szCs w:val="17"/>
              </w:rPr>
              <w:t xml:space="preserve">OK</w:t>
            </w:r>
          </w:p>
        </w:tc>
      </w:tr>
    </w:tbl>
    <w:p>
      <w:pPr>
        <w:spacing w:after="0" w:before="200"/>
      </w:pPr>
      <w:r>
        <w:rPr>
          <w:rFonts w:ascii="Arial" w:cs="Arial" w:eastAsia="Arial" w:hAnsi="Arial"/>
          <w:color w:val="1A1A1A"/>
          <w:sz w:val="20"/>
          <w:szCs w:val="20"/>
        </w:rPr>
        <w:t xml:space="preserve"/>
      </w:r>
    </w:p>
    <w:p>
      <w:r>
        <w:br w:type="page"/>
      </w:r>
    </w:p>
    <w:p>
      <w:pPr>
        <w:pStyle w:val="Heading1"/>
        <w:spacing w:after="120" w:before="360"/>
      </w:pPr>
      <w:r>
        <w:rPr>
          <w:rFonts w:ascii="Arial" w:cs="Arial" w:eastAsia="Arial" w:hAnsi="Arial"/>
          <w:b/>
          <w:bCs/>
          <w:color w:val="1F4E79"/>
          <w:sz w:val="34"/>
          <w:szCs w:val="34"/>
        </w:rPr>
        <w:t xml:space="preserve">6.  Progress &amp; what still needs answering</w:t>
      </w:r>
    </w:p>
    <w:p>
      <w:pPr>
        <w:spacing w:after="0" w:before="60"/>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Area</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Status</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What's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Core SP logic mapped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375623"/>
                <w:sz w:val="19"/>
                <w:szCs w:val="19"/>
              </w:rPr>
              <w:t xml:space="preserve">✓ Done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All joins, filters, and flow understood.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Table inventory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color w:val="375623"/>
                <w:sz w:val="19"/>
                <w:szCs w:val="19"/>
              </w:rPr>
              <w:t xml:space="preserve">✓ Done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All 16 tables identified and assessed.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Field relationships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375623"/>
                <w:sz w:val="19"/>
                <w:szCs w:val="19"/>
              </w:rPr>
              <w:t xml:space="preserve">✓ Done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All join keys documented. Alias map complete.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Known issues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color w:val="375623"/>
                <w:sz w:val="19"/>
                <w:szCs w:val="19"/>
              </w:rPr>
              <w:t xml:space="preserve">✓ Done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3 issues logged: segmentation, fee group, Channel.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Segmentation fix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C55A11"/>
                <w:sz w:val="19"/>
                <w:szCs w:val="19"/>
              </w:rPr>
              <w:t xml:space="preserve">Open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Add AND segs.Year_Month = MarketValue.YearMonth to the join.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FeeGroupMember fix</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color w:val="C55A11"/>
                <w:sz w:val="19"/>
                <w:szCs w:val="19"/>
              </w:rPr>
              <w:t xml:space="preserve">Open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Add ORDER BY ff.CreatedDate DESC inside OUTER APPLY.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Channel replacement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C55A11"/>
                <w:sz w:val="19"/>
                <w:szCs w:val="19"/>
              </w:rPr>
              <w:t xml:space="preserve">Open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Identify new source or remove column from output.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SalesPerson coverage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color w:val="C55A11"/>
                <w:sz w:val="19"/>
                <w:szCs w:val="19"/>
              </w:rPr>
              <w:t xml:space="preserve">Open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Quantify how many advisers are missing from the table (x-unallocated gap).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'_Test' table confirmation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C55A11"/>
                <w:sz w:val="19"/>
                <w:szCs w:val="19"/>
              </w:rPr>
              <w:t xml:space="preserve">Open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Confirm tempPortfolioAssetSplit_Test is the production version.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Other SPs using same tables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color w:val="C00000"/>
                <w:sz w:val="19"/>
                <w:szCs w:val="19"/>
              </w:rPr>
              <w:t xml:space="preserve">Not started</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Find all procs that read/write the same temp tables. Critical for scope.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Investment_Analytics mapping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C00000"/>
                <w:sz w:val="19"/>
                <w:szCs w:val="19"/>
              </w:rPr>
              <w:t xml:space="preserve">Not started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Map what else lives in this DB — likely a significant second hub.</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WIM_FA_Staging mapping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color w:val="C00000"/>
                <w:sz w:val="19"/>
                <w:szCs w:val="19"/>
              </w:rPr>
              <w:t xml:space="preserve">Not started</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Map segmentation source DB. Understand update frequency.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Temp table lineage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C00000"/>
                <w:sz w:val="19"/>
                <w:szCs w:val="19"/>
              </w:rPr>
              <w:t xml:space="preserve">Not started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Where do the temp tables get loaded from? What ETL feeds them?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Unified DB entity model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bCs/>
                <w:color w:val="C00000"/>
                <w:sz w:val="19"/>
                <w:szCs w:val="19"/>
              </w:rPr>
              <w:t xml:space="preserve">Not started</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color w:val="1A1A1A"/>
                <w:sz w:val="19"/>
                <w:szCs w:val="19"/>
              </w:rPr>
              <w:t xml:space="preserve">Define core entities: Client, Adviser, Portfolio, Fund, Period, Value.</w:t>
            </w:r>
          </w:p>
        </w:tc>
      </w:tr>
    </w:tbl>
    <w:p>
      <w:pPr>
        <w:spacing w:after="0" w:before="200"/>
      </w:pPr>
      <w:r>
        <w:rPr>
          <w:rFonts w:ascii="Arial" w:cs="Arial" w:eastAsia="Arial" w:hAnsi="Arial"/>
          <w:color w:val="1A1A1A"/>
          <w:sz w:val="20"/>
          <w:szCs w:val="20"/>
        </w:rPr>
        <w:t xml:space="preserve"/>
      </w:r>
    </w:p>
    <w:p>
      <w:r>
        <w:br w:type="page"/>
      </w:r>
    </w:p>
    <w:p>
      <w:pPr>
        <w:pStyle w:val="Heading1"/>
        <w:spacing w:after="120" w:before="360"/>
      </w:pPr>
      <w:r>
        <w:rPr>
          <w:rFonts w:ascii="Arial" w:cs="Arial" w:eastAsia="Arial" w:hAnsi="Arial"/>
          <w:b/>
          <w:bCs/>
          <w:color w:val="1F4E79"/>
          <w:sz w:val="34"/>
          <w:szCs w:val="34"/>
        </w:rPr>
        <w:t xml:space="preserve">7.  Copilot / AI prompts — paste and go</w:t>
      </w:r>
    </w:p>
    <w:p>
      <w:pPr>
        <w:spacing w:after="80" w:before="60"/>
      </w:pPr>
      <w:r>
        <w:rPr>
          <w:rFonts w:ascii="Arial" w:cs="Arial" w:eastAsia="Arial" w:hAnsi="Arial"/>
          <w:color w:val="1A1A1A"/>
          <w:sz w:val="20"/>
          <w:szCs w:val="20"/>
        </w:rPr>
        <w:t xml:space="preserve">Use these prompts to continue the investigation. Paste the SP code alongside each prompt for best results.</w:t>
      </w:r>
    </w:p>
    <w:p>
      <w:pPr>
        <w:spacing w:after="0" w:before="100"/>
      </w:pPr>
      <w:r>
        <w:rPr>
          <w:rFonts w:ascii="Arial" w:cs="Arial" w:eastAsia="Arial" w:hAnsi="Arial"/>
          <w:color w:val="1A1A1A"/>
          <w:sz w:val="20"/>
          <w:szCs w:val="20"/>
        </w:rPr>
        <w:t xml:space="preserve"/>
      </w:r>
    </w:p>
    <w:p>
      <w:pPr>
        <w:pStyle w:val="Heading2"/>
        <w:spacing w:after="100" w:before="260"/>
      </w:pPr>
      <w:r>
        <w:rPr>
          <w:rFonts w:ascii="Arial" w:cs="Arial" w:eastAsia="Arial" w:hAnsi="Arial"/>
          <w:b/>
          <w:bCs/>
          <w:color w:val="2E75B6"/>
          <w:sz w:val="26"/>
          <w:szCs w:val="26"/>
        </w:rPr>
        <w:t xml:space="preserve">Fix the segmentation join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2"/>
              <w:bottom w:val="single" w:color="888888" w:sz="1"/>
              <w:right w:val="single" w:color="888888" w:sz="1"/>
            </w:tcBorders>
            <w:shd w:fill="F8F8F8" w:val="clear"/>
            <w:tcMar>
              <w:top w:type="dxa" w:w="100"/>
              <w:left w:type="dxa" w:w="180"/>
              <w:bottom w:type="dxa" w:w="100"/>
              <w:right w:type="dxa" w:w="180"/>
            </w:tcMar>
          </w:tcPr>
          <w:p>
            <w:pPr>
              <w:spacing w:after="40" w:before="0"/>
            </w:pPr>
            <w:r>
              <w:rPr>
                <w:rFonts w:ascii="Arial" w:cs="Arial" w:eastAsia="Arial" w:hAnsi="Arial"/>
                <w:b/>
                <w:bCs/>
                <w:color w:val="595959"/>
                <w:sz w:val="18"/>
                <w:szCs w:val="18"/>
              </w:rPr>
              <w:t xml:space="preserve">🤖  Paste into Copilot with the SP code</w:t>
            </w:r>
          </w:p>
          <w:p>
            <w:pPr>
              <w:spacing w:after="0" w:before="0"/>
            </w:pPr>
            <w:r>
              <w:rPr>
                <w:rFonts w:ascii="Courier New" w:cs="Courier New" w:eastAsia="Courier New" w:hAnsi="Courier New"/>
                <w:color w:val="333333"/>
                <w:sz w:val="18"/>
                <w:szCs w:val="18"/>
              </w:rPr>
              <w:t xml:space="preserve">The join to Customer_Monthly_Segmentation uses only UCN with no filter on Year_Month.
This causes row duplication when a client has multiple monthly records.
Show me the exact line to change and what the corrected JOIN should look like.
Also estimate how many extra rows this could be producing if segmentation has
12 months of records per client.</w:t>
            </w:r>
          </w:p>
        </w:tc>
      </w:tr>
    </w:tbl>
    <w:p>
      <w:pPr>
        <w:spacing w:after="0" w:before="120"/>
      </w:pPr>
      <w:r>
        <w:rPr>
          <w:rFonts w:ascii="Arial" w:cs="Arial" w:eastAsia="Arial" w:hAnsi="Arial"/>
          <w:color w:val="1A1A1A"/>
          <w:sz w:val="20"/>
          <w:szCs w:val="20"/>
        </w:rPr>
        <w:t xml:space="preserve"/>
      </w:r>
    </w:p>
    <w:p>
      <w:pPr>
        <w:pStyle w:val="Heading2"/>
        <w:spacing w:after="100" w:before="260"/>
      </w:pPr>
      <w:r>
        <w:rPr>
          <w:rFonts w:ascii="Arial" w:cs="Arial" w:eastAsia="Arial" w:hAnsi="Arial"/>
          <w:b/>
          <w:bCs/>
          <w:color w:val="2E75B6"/>
          <w:sz w:val="26"/>
          <w:szCs w:val="26"/>
        </w:rPr>
        <w:t xml:space="preserve">Fix the FeeGroupMember OUTER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2"/>
              <w:bottom w:val="single" w:color="888888" w:sz="1"/>
              <w:right w:val="single" w:color="888888" w:sz="1"/>
            </w:tcBorders>
            <w:shd w:fill="F8F8F8" w:val="clear"/>
            <w:tcMar>
              <w:top w:type="dxa" w:w="100"/>
              <w:left w:type="dxa" w:w="180"/>
              <w:bottom w:type="dxa" w:w="100"/>
              <w:right w:type="dxa" w:w="180"/>
            </w:tcMar>
          </w:tcPr>
          <w:p>
            <w:pPr>
              <w:spacing w:after="40" w:before="0"/>
            </w:pPr>
            <w:r>
              <w:rPr>
                <w:rFonts w:ascii="Arial" w:cs="Arial" w:eastAsia="Arial" w:hAnsi="Arial"/>
                <w:b/>
                <w:bCs/>
                <w:color w:val="595959"/>
                <w:sz w:val="18"/>
                <w:szCs w:val="18"/>
              </w:rPr>
              <w:t xml:space="preserve">🤖  Paste into Copilot with the SP code</w:t>
            </w:r>
          </w:p>
          <w:p>
            <w:pPr>
              <w:spacing w:after="0" w:before="0"/>
            </w:pPr>
            <w:r>
              <w:rPr>
                <w:rFonts w:ascii="Courier New" w:cs="Courier New" w:eastAsia="Courier New" w:hAnsi="Courier New"/>
                <w:color w:val="333333"/>
                <w:sz w:val="18"/>
                <w:szCs w:val="18"/>
              </w:rPr>
              <w:t xml:space="preserve">The OUTER APPLY on FeeGroupMember uses TOP 1 with no ORDER BY.
This is non-deterministic — the result can differ between runs.
Rewrite the OUTER APPLY so it consistently returns the most recent
active fee group record. The date column is CreatedDate.</w:t>
            </w:r>
          </w:p>
        </w:tc>
      </w:tr>
    </w:tbl>
    <w:p>
      <w:pPr>
        <w:spacing w:after="0" w:before="120"/>
      </w:pPr>
      <w:r>
        <w:rPr>
          <w:rFonts w:ascii="Arial" w:cs="Arial" w:eastAsia="Arial" w:hAnsi="Arial"/>
          <w:color w:val="1A1A1A"/>
          <w:sz w:val="20"/>
          <w:szCs w:val="20"/>
        </w:rPr>
        <w:t xml:space="preserve"/>
      </w:r>
    </w:p>
    <w:p>
      <w:pPr>
        <w:pStyle w:val="Heading2"/>
        <w:spacing w:after="100" w:before="260"/>
      </w:pPr>
      <w:r>
        <w:rPr>
          <w:rFonts w:ascii="Arial" w:cs="Arial" w:eastAsia="Arial" w:hAnsi="Arial"/>
          <w:b/>
          <w:bCs/>
          <w:color w:val="2E75B6"/>
          <w:sz w:val="26"/>
          <w:szCs w:val="26"/>
        </w:rPr>
        <w:t xml:space="preserve">Find all SPs using the same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2"/>
              <w:bottom w:val="single" w:color="888888" w:sz="1"/>
              <w:right w:val="single" w:color="888888" w:sz="1"/>
            </w:tcBorders>
            <w:shd w:fill="F8F8F8" w:val="clear"/>
            <w:tcMar>
              <w:top w:type="dxa" w:w="100"/>
              <w:left w:type="dxa" w:w="180"/>
              <w:bottom w:type="dxa" w:w="100"/>
              <w:right w:type="dxa" w:w="180"/>
            </w:tcMar>
          </w:tcPr>
          <w:p>
            <w:pPr>
              <w:spacing w:after="40" w:before="0"/>
            </w:pPr>
            <w:r>
              <w:rPr>
                <w:rFonts w:ascii="Arial" w:cs="Arial" w:eastAsia="Arial" w:hAnsi="Arial"/>
                <w:b/>
                <w:bCs/>
                <w:color w:val="595959"/>
                <w:sz w:val="18"/>
                <w:szCs w:val="18"/>
              </w:rPr>
              <w:t xml:space="preserve">🤖  Paste into SQL Server Management Studio or Copilot</w:t>
            </w:r>
          </w:p>
          <w:p>
            <w:pPr>
              <w:spacing w:after="0" w:before="0"/>
            </w:pPr>
            <w:r>
              <w:rPr>
                <w:rFonts w:ascii="Courier New" w:cs="Courier New" w:eastAsia="Courier New" w:hAnsi="Courier New"/>
                <w:color w:val="333333"/>
                <w:sz w:val="18"/>
                <w:szCs w:val="18"/>
              </w:rPr>
              <w:t xml:space="preserve">SELECT DISTINCT o.name AS ProcedureName, o.type_desc
FROM sys.sql_modules m
JOIN sys.objects o ON m.object_id = o.object_id
WHERE m.definition LIKE '%tempPortfolioDetails%'
   OR m.definition LIKE '%tempPortfolioValues%'
   OR m.definition LIKE '%tempPortfolioAssetSplit%'
ORDER BY o.name
-- Run this in PharosDataWarehouse to find everything touching the core tables</w:t>
            </w:r>
          </w:p>
        </w:tc>
      </w:tr>
    </w:tbl>
    <w:p>
      <w:pPr>
        <w:spacing w:after="0" w:before="120"/>
      </w:pPr>
      <w:r>
        <w:rPr>
          <w:rFonts w:ascii="Arial" w:cs="Arial" w:eastAsia="Arial" w:hAnsi="Arial"/>
          <w:color w:val="1A1A1A"/>
          <w:sz w:val="20"/>
          <w:szCs w:val="20"/>
        </w:rPr>
        <w:t xml:space="preserve"/>
      </w:r>
    </w:p>
    <w:p>
      <w:pPr>
        <w:pStyle w:val="Heading2"/>
        <w:spacing w:after="100" w:before="260"/>
      </w:pPr>
      <w:r>
        <w:rPr>
          <w:rFonts w:ascii="Arial" w:cs="Arial" w:eastAsia="Arial" w:hAnsi="Arial"/>
          <w:b/>
          <w:bCs/>
          <w:color w:val="2E75B6"/>
          <w:sz w:val="26"/>
          <w:szCs w:val="26"/>
        </w:rPr>
        <w:t xml:space="preserve">Map Investment_Analytics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2"/>
              <w:bottom w:val="single" w:color="888888" w:sz="1"/>
              <w:right w:val="single" w:color="888888" w:sz="1"/>
            </w:tcBorders>
            <w:shd w:fill="F8F8F8" w:val="clear"/>
            <w:tcMar>
              <w:top w:type="dxa" w:w="100"/>
              <w:left w:type="dxa" w:w="180"/>
              <w:bottom w:type="dxa" w:w="100"/>
              <w:right w:type="dxa" w:w="180"/>
            </w:tcMar>
          </w:tcPr>
          <w:p>
            <w:pPr>
              <w:spacing w:after="40" w:before="0"/>
            </w:pPr>
            <w:r>
              <w:rPr>
                <w:rFonts w:ascii="Arial" w:cs="Arial" w:eastAsia="Arial" w:hAnsi="Arial"/>
                <w:b/>
                <w:bCs/>
                <w:color w:val="595959"/>
                <w:sz w:val="18"/>
                <w:szCs w:val="18"/>
              </w:rPr>
              <w:t xml:space="preserve">🤖  Paste into Copilot</w:t>
            </w:r>
          </w:p>
          <w:p>
            <w:pPr>
              <w:spacing w:after="0" w:before="0"/>
            </w:pPr>
            <w:r>
              <w:rPr>
                <w:rFonts w:ascii="Courier New" w:cs="Courier New" w:eastAsia="Courier New" w:hAnsi="Courier New"/>
                <w:color w:val="333333"/>
                <w:sz w:val="18"/>
                <w:szCs w:val="18"/>
              </w:rPr>
              <w:t xml:space="preserve">I have a database called Investment_Analytics. I know it contains at least:
  - dbo.SalesPerson (used for adviser region mapping)
  - Mapping.Security (used for fund house view and classification tags)
Help me write a SQL query to list all tables in this database with their
row counts and last modified dates, so I can understand its full scope.</w:t>
            </w:r>
          </w:p>
        </w:tc>
      </w:tr>
    </w:tbl>
    <w:p>
      <w:pPr>
        <w:spacing w:after="0" w:before="120"/>
      </w:pPr>
      <w:r>
        <w:rPr>
          <w:rFonts w:ascii="Arial" w:cs="Arial" w:eastAsia="Arial" w:hAnsi="Arial"/>
          <w:color w:val="1A1A1A"/>
          <w:sz w:val="20"/>
          <w:szCs w:val="20"/>
        </w:rPr>
        <w:t xml:space="preserve"/>
      </w:r>
    </w:p>
    <w:p>
      <w:pPr>
        <w:pStyle w:val="Heading2"/>
        <w:spacing w:after="100" w:before="260"/>
      </w:pPr>
      <w:r>
        <w:rPr>
          <w:rFonts w:ascii="Arial" w:cs="Arial" w:eastAsia="Arial" w:hAnsi="Arial"/>
          <w:b/>
          <w:bCs/>
          <w:color w:val="2E75B6"/>
          <w:sz w:val="26"/>
          <w:szCs w:val="26"/>
        </w:rPr>
        <w:t xml:space="preserve">Identify unified DB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2"/>
              <w:bottom w:val="single" w:color="888888" w:sz="1"/>
              <w:right w:val="single" w:color="888888" w:sz="1"/>
            </w:tcBorders>
            <w:shd w:fill="F8F8F8" w:val="clear"/>
            <w:tcMar>
              <w:top w:type="dxa" w:w="100"/>
              <w:left w:type="dxa" w:w="180"/>
              <w:bottom w:type="dxa" w:w="100"/>
              <w:right w:type="dxa" w:w="180"/>
            </w:tcMar>
          </w:tcPr>
          <w:p>
            <w:pPr>
              <w:spacing w:after="40" w:before="0"/>
            </w:pPr>
            <w:r>
              <w:rPr>
                <w:rFonts w:ascii="Arial" w:cs="Arial" w:eastAsia="Arial" w:hAnsi="Arial"/>
                <w:b/>
                <w:bCs/>
                <w:color w:val="595959"/>
                <w:sz w:val="18"/>
                <w:szCs w:val="18"/>
              </w:rPr>
              <w:t xml:space="preserve">🤖  Paste into Copilot with this doc + the SP code</w:t>
            </w:r>
          </w:p>
          <w:p>
            <w:pPr>
              <w:spacing w:after="0" w:before="0"/>
            </w:pPr>
            <w:r>
              <w:rPr>
                <w:rFonts w:ascii="Courier New" w:cs="Courier New" w:eastAsia="Courier New" w:hAnsi="Courier New"/>
                <w:color w:val="333333"/>
                <w:sz w:val="18"/>
                <w:szCs w:val="18"/>
              </w:rPr>
              <w:t xml:space="preserve">Based on this stored procedure and its tables, help me identify the core entities
for a unified database design. For each entity, list:
  - The natural key (what uniquely identifies it in the real world)
  - The surrogate key used in the current system
  - Which tables currently store attributes for this entity
  - Any known data quality issues that need resolving before it can be a clean dimension
Focus on: Client, Adviser, Portfolio, Fund, Product, Period.</w:t>
            </w:r>
          </w:p>
        </w:tc>
      </w:tr>
    </w:tbl>
    <w:p>
      <w:pPr>
        <w:spacing w:after="0" w:before="120"/>
      </w:pPr>
      <w:r>
        <w:rPr>
          <w:rFonts w:ascii="Arial" w:cs="Arial" w:eastAsia="Arial" w:hAnsi="Arial"/>
          <w:color w:val="1A1A1A"/>
          <w:sz w:val="20"/>
          <w:szCs w:val="20"/>
        </w:rPr>
        <w:t xml:space="preserve"/>
      </w:r>
    </w:p>
    <w:p>
      <w:pPr>
        <w:pStyle w:val="Heading2"/>
        <w:spacing w:after="100" w:before="260"/>
      </w:pPr>
      <w:r>
        <w:rPr>
          <w:rFonts w:ascii="Arial" w:cs="Arial" w:eastAsia="Arial" w:hAnsi="Arial"/>
          <w:b/>
          <w:bCs/>
          <w:color w:val="2E75B6"/>
          <w:sz w:val="26"/>
          <w:szCs w:val="26"/>
        </w:rPr>
        <w:t xml:space="preserve">Check SalesPerson table coverage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2"/>
              <w:bottom w:val="single" w:color="888888" w:sz="1"/>
              <w:right w:val="single" w:color="888888" w:sz="1"/>
            </w:tcBorders>
            <w:shd w:fill="F8F8F8" w:val="clear"/>
            <w:tcMar>
              <w:top w:type="dxa" w:w="100"/>
              <w:left w:type="dxa" w:w="180"/>
              <w:bottom w:type="dxa" w:w="100"/>
              <w:right w:type="dxa" w:w="180"/>
            </w:tcMar>
          </w:tcPr>
          <w:p>
            <w:pPr>
              <w:spacing w:after="40" w:before="0"/>
            </w:pPr>
            <w:r>
              <w:rPr>
                <w:rFonts w:ascii="Arial" w:cs="Arial" w:eastAsia="Arial" w:hAnsi="Arial"/>
                <w:b/>
                <w:bCs/>
                <w:color w:val="595959"/>
                <w:sz w:val="18"/>
                <w:szCs w:val="18"/>
              </w:rPr>
              <w:t xml:space="preserve">🤖  Paste into SQL Server Management Studio</w:t>
            </w:r>
          </w:p>
          <w:p>
            <w:pPr>
              <w:spacing w:after="0" w:before="0"/>
            </w:pPr>
            <w:r>
              <w:rPr>
                <w:rFonts w:ascii="Courier New" w:cs="Courier New" w:eastAsia="Courier New" w:hAnsi="Courier New"/>
                <w:color w:val="333333"/>
                <w:sz w:val="18"/>
                <w:szCs w:val="18"/>
              </w:rPr>
              <w:t xml:space="preserve">SELECT
    COUNT(*) AS TotalAdvisers,
    SUM(CASE WHEN sp.SalesPersonID IS NULL THEN 1 ELSE 0 END) AS UnmappedAdvisers,
    CAST(SUM(CASE WHEN sp.SalesPersonID IS NULL THEN 1 ELSE 0 END) * 100.0
         / COUNT(*) AS DECIMAL(5,2)) AS UnmappedPct
FROM PharosDataWarehouse.dbo.tempStaffDetails s
LEFT JOIN Investment_Analytics.dbo.SalesPerson sp
    ON CONVERT(varchar(36), s.EntityID) = sp.SalesPersonID
-- How many advisers are getting x-unallocated for region?</w:t>
            </w:r>
          </w:p>
        </w:tc>
      </w:tr>
    </w:tbl>
    <w:p>
      <w:pPr>
        <w:spacing w:after="0" w:before="120"/>
      </w:pPr>
      <w:r>
        <w:rPr>
          <w:rFonts w:ascii="Arial" w:cs="Arial" w:eastAsia="Arial" w:hAnsi="Arial"/>
          <w:color w:val="1A1A1A"/>
          <w:sz w:val="20"/>
          <w:szCs w:val="20"/>
        </w:rPr>
        <w:t xml:space="preserve"/>
      </w:r>
    </w:p>
    <w:p>
      <w:pPr>
        <w:pStyle w:val="Heading2"/>
        <w:spacing w:after="100" w:before="260"/>
      </w:pPr>
      <w:r>
        <w:rPr>
          <w:rFonts w:ascii="Arial" w:cs="Arial" w:eastAsia="Arial" w:hAnsi="Arial"/>
          <w:b/>
          <w:bCs/>
          <w:color w:val="2E75B6"/>
          <w:sz w:val="26"/>
          <w:szCs w:val="26"/>
        </w:rPr>
        <w:t xml:space="preserve">Generate a draft ERD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2"/>
              <w:bottom w:val="single" w:color="888888" w:sz="1"/>
              <w:right w:val="single" w:color="888888" w:sz="1"/>
            </w:tcBorders>
            <w:shd w:fill="F8F8F8" w:val="clear"/>
            <w:tcMar>
              <w:top w:type="dxa" w:w="100"/>
              <w:left w:type="dxa" w:w="180"/>
              <w:bottom w:type="dxa" w:w="100"/>
              <w:right w:type="dxa" w:w="180"/>
            </w:tcMar>
          </w:tcPr>
          <w:p>
            <w:pPr>
              <w:spacing w:after="40" w:before="0"/>
            </w:pPr>
            <w:r>
              <w:rPr>
                <w:rFonts w:ascii="Arial" w:cs="Arial" w:eastAsia="Arial" w:hAnsi="Arial"/>
                <w:b/>
                <w:bCs/>
                <w:color w:val="595959"/>
                <w:sz w:val="18"/>
                <w:szCs w:val="18"/>
              </w:rPr>
              <w:t xml:space="preserve">🤖  Paste into Copilot with the SP code</w:t>
            </w:r>
          </w:p>
          <w:p>
            <w:pPr>
              <w:spacing w:after="0" w:before="0"/>
            </w:pPr>
            <w:r>
              <w:rPr>
                <w:rFonts w:ascii="Courier New" w:cs="Courier New" w:eastAsia="Courier New" w:hAnsi="Courier New"/>
                <w:color w:val="333333"/>
                <w:sz w:val="18"/>
                <w:szCs w:val="18"/>
              </w:rPr>
              <w:t xml:space="preserve">Based on this stored procedure, generate a textual ERD (entity relationship description)
showing every table, its primary key, foreign keys used in this query, and the
cardinality of each relationship (1-to-1, 1-to-many, many-to-many).
Flag any relationships that are non-standard (type casts, collation casts,
composite keys, or non-deterministic selections).</w:t>
            </w:r>
          </w:p>
        </w:tc>
      </w:tr>
    </w:tbl>
    <w:p>
      <w:pPr>
        <w:spacing w:after="0" w:before="120"/>
      </w:pPr>
      <w:r>
        <w:rPr>
          <w:rFonts w:ascii="Arial" w:cs="Arial" w:eastAsia="Arial" w:hAnsi="Arial"/>
          <w:color w:val="1A1A1A"/>
          <w:sz w:val="20"/>
          <w:szCs w:val="20"/>
        </w:rPr>
        <w:t xml:space="preserve"/>
      </w:r>
    </w:p>
    <w:sectPr>
      <w:footerReference w:type="default" r:id="rId7"/>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7"/>
        <w:szCs w:val="17"/>
      </w:rPr>
      <w:t xml:space="preserve">AUA Fund Level — Investigation Brief  |  p</w:t>
    </w:r>
    <w:r>
      <w:rPr>
        <w:rFonts w:ascii="Arial" w:cs="Arial" w:eastAsia="Arial" w:hAnsi="Arial"/>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C55A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2026-04-21T00:45:50.962Z</dcterms:created>
  <dcterms:modified xsi:type="dcterms:W3CDTF">2026-04-21T00:45:50.963Z</dcterms:modified>
</cp:coreProperties>
</file>

<file path=docProps/custom.xml><?xml version="1.0" encoding="utf-8"?>
<Properties xmlns="http://schemas.openxmlformats.org/officeDocument/2006/custom-properties" xmlns:vt="http://schemas.openxmlformats.org/officeDocument/2006/docPropsVTypes"/>
</file>