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 [Наименование районного суда]</w:t>
        <w:br/>
        <w:t>Адрес суда: [Адрес суда]</w:t>
        <w:br/>
        <w:br/>
        <w:t>Истец: [ФИО, адрес, телефон]</w:t>
        <w:br/>
        <w:t>Ответчик: [ФИО, адрес, телефон]</w:t>
        <w:br/>
        <w:t>Третье лицо: Орган опеки и попечительства [район, адрес]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ИСКОВОЕ ЗАЯВЛЕНИЕ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об определении порядка общения с ребенком отдельно проживающего родителя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Я являюсь родителем несовершеннолетнего ребенка: [ФИО ребенка, дата рождения]. Брак между мной и Ответчиком расторгнут, ребенок проживает с Ответчиком.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Ответчик чинит препятствия в моем общении с ребенком, отказывает во встречах без объективных причин, чем нарушает мои права и интересы несовершеннолетнего.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соответствии со статьей 66 Семейного кодекса РФ родитель, проживающий отдельно, имеет право на общение с ребенком, участие в его воспитании.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Определить следующий порядок общения Истца с ребенком: [подробно расписать дни недели, время, праздничные дни и совместный отпуск].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Обязать Ответчика не чинить препятствий в общении с ребенком в установленное время.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