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8F729">
      <w:pPr>
        <w:pStyle w:val="19"/>
        <w:numPr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OLE_LINK91"/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X.X Measure Intracellular NAD</w:t>
      </w:r>
      <w:r>
        <w:rPr>
          <w:rFonts w:hint="eastAsia" w:ascii="Times New Roman" w:hAnsi="Times New Roman" w:cs="Times New Roman"/>
          <w:b/>
          <w:bCs/>
          <w:sz w:val="32"/>
          <w:szCs w:val="32"/>
          <w:vertAlign w:val="superscript"/>
          <w:lang w:val="en-US" w:eastAsia="zh-CN"/>
        </w:rPr>
        <w:t>+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 xml:space="preserve"> and NADH (Colorimetric)</w:t>
      </w:r>
    </w:p>
    <w:bookmarkEnd w:id="0"/>
    <w:p w14:paraId="0CFEBAB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5"/>
        <w:tblW w:w="11057" w:type="dxa"/>
        <w:tblInd w:w="-866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autofit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2694"/>
        <w:gridCol w:w="5528"/>
        <w:gridCol w:w="2835"/>
      </w:tblGrid>
      <w:tr w14:paraId="649C1780">
        <w:trPr>
          <w:trHeight w:val="843" w:hRule="atLeast"/>
        </w:trPr>
        <w:tc>
          <w:tcPr>
            <w:tcW w:w="269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</w:tcPr>
          <w:p w14:paraId="234D914A">
            <w:pPr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 xml:space="preserve">SOP NO.: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X.X</w:t>
            </w:r>
          </w:p>
          <w:p w14:paraId="71CB8E0F">
            <w:pPr>
              <w:rPr>
                <w:rFonts w:hint="eastAsia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 xml:space="preserve">Version: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1</w:t>
            </w:r>
          </w:p>
        </w:tc>
        <w:tc>
          <w:tcPr>
            <w:tcW w:w="552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auto"/>
          </w:tcPr>
          <w:p w14:paraId="2915CE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TITLE</w:t>
            </w:r>
          </w:p>
          <w:p w14:paraId="44AF850E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C00000"/>
                <w:lang w:val="en-US" w:eastAsia="zh-CN"/>
              </w:rPr>
              <w:t>Measuring intracellular NAD</w:t>
            </w:r>
            <w:r>
              <w:rPr>
                <w:rFonts w:hint="eastAsia" w:ascii="Times New Roman" w:hAnsi="Times New Roman" w:cs="Times New Roman"/>
                <w:b/>
                <w:bCs/>
                <w:color w:val="C00000"/>
                <w:vertAlign w:val="superscript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b/>
                <w:bCs/>
                <w:color w:val="C00000"/>
                <w:lang w:val="en-US" w:eastAsia="zh-CN"/>
              </w:rPr>
              <w:t xml:space="preserve"> and NADH amount using colorimetric assay</w:t>
            </w:r>
          </w:p>
        </w:tc>
        <w:tc>
          <w:tcPr>
            <w:tcW w:w="2835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auto"/>
          </w:tcPr>
          <w:p w14:paraId="1C903DB5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Page 1 of </w:t>
            </w:r>
            <w:r>
              <w:rPr>
                <w:rFonts w:hint="default" w:ascii="Times New Roman" w:hAnsi="Times New Roman" w:cs="Times New Roman"/>
                <w:lang w:val="en-US"/>
              </w:rPr>
              <w:t>5</w:t>
            </w:r>
          </w:p>
        </w:tc>
      </w:tr>
      <w:tr w14:paraId="4C26D23B">
        <w:trPr>
          <w:trHeight w:val="692" w:hRule="atLeast"/>
        </w:trPr>
        <w:tc>
          <w:tcPr>
            <w:tcW w:w="269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</w:tcPr>
          <w:p w14:paraId="533E86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Last Reviewed Date:</w:t>
            </w:r>
          </w:p>
          <w:p w14:paraId="20A8B667">
            <w:pPr>
              <w:rPr>
                <w:rFonts w:hint="eastAsia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Mar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04</w:t>
            </w:r>
            <w:r>
              <w:rPr>
                <w:rFonts w:ascii="Times New Roman" w:hAnsi="Times New Roman" w:cs="Times New Roman"/>
              </w:rPr>
              <w:t>.202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6</w:t>
            </w:r>
          </w:p>
        </w:tc>
        <w:tc>
          <w:tcPr>
            <w:tcW w:w="552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auto"/>
          </w:tcPr>
          <w:p w14:paraId="036A4A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SOP Author(s):</w:t>
            </w:r>
          </w:p>
          <w:p w14:paraId="1FBB32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Xingjian Yang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Jee</w:t>
            </w:r>
            <w:r>
              <w:rPr>
                <w:rFonts w:hint="default" w:ascii="Times New Roman" w:hAnsi="Times New Roman" w:cs="Times New Roman"/>
                <w:lang w:val="en-US"/>
              </w:rPr>
              <w:t>h</w:t>
            </w:r>
            <w:r>
              <w:rPr>
                <w:rFonts w:ascii="Times New Roman" w:hAnsi="Times New Roman" w:cs="Times New Roman"/>
              </w:rPr>
              <w:t>wan Oh,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JP van Pijkeren</w:t>
            </w:r>
          </w:p>
        </w:tc>
        <w:tc>
          <w:tcPr>
            <w:tcW w:w="2835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E0E0E0"/>
          </w:tcPr>
          <w:p w14:paraId="6B80ED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Status: </w:t>
            </w:r>
          </w:p>
        </w:tc>
      </w:tr>
    </w:tbl>
    <w:p w14:paraId="085BF355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B6FF634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</w:rPr>
        <w:t xml:space="preserve">Protocol adapted from </w:t>
      </w:r>
      <w:r>
        <w:rPr>
          <w:rFonts w:hint="eastAsia" w:ascii="Times New Roman" w:hAnsi="Times New Roman" w:cs="Times New Roman"/>
          <w:lang w:val="en-US" w:eastAsia="zh-CN"/>
        </w:rPr>
        <w:t xml:space="preserve">the manufacturer </w:t>
      </w:r>
      <w:r>
        <w:rPr>
          <w:rFonts w:hint="eastAsia" w:ascii="Times New Roman" w:hAnsi="Times New Roman" w:cs="Times New Roman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lang w:val="en-US" w:eastAsia="zh-CN"/>
        </w:rPr>
        <w:instrText xml:space="preserve"> HYPERLINK "https://www.abcam.com/en-us/products/assay-kits/nad-nadh-assay-kit-colorimetric-ab65348" </w:instrText>
      </w:r>
      <w:r>
        <w:rPr>
          <w:rFonts w:hint="eastAsia" w:ascii="Times New Roman" w:hAnsi="Times New Roman" w:cs="Times New Roman"/>
          <w:lang w:val="en-US" w:eastAsia="zh-CN"/>
        </w:rPr>
        <w:fldChar w:fldCharType="separate"/>
      </w:r>
      <w:r>
        <w:rPr>
          <w:rStyle w:val="12"/>
          <w:rFonts w:hint="eastAsia" w:ascii="Times New Roman" w:hAnsi="Times New Roman" w:cs="Times New Roman"/>
          <w:lang w:val="en-US" w:eastAsia="zh-CN"/>
        </w:rPr>
        <w:t>https://www.abcam.com/en-us/products/assay-kits/nad-nadh-assay-kit-colorimetric-ab65348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lang w:val="en-US" w:eastAsia="zh-CN"/>
        </w:rPr>
        <w:t xml:space="preserve"> and </w:t>
      </w:r>
      <w:r>
        <w:rPr>
          <w:rFonts w:hint="eastAsia" w:ascii="Times New Roman" w:hAnsi="Times New Roman" w:cs="Times New Roman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lang w:val="en-US" w:eastAsia="zh-CN"/>
        </w:rPr>
        <w:instrText xml:space="preserve"> HYPERLINK "https://bio-protocol.org/en/bpdetail?id=1902&amp;type=0" </w:instrText>
      </w:r>
      <w:r>
        <w:rPr>
          <w:rFonts w:hint="eastAsia" w:ascii="Times New Roman" w:hAnsi="Times New Roman" w:cs="Times New Roman"/>
          <w:lang w:val="en-US" w:eastAsia="zh-CN"/>
        </w:rPr>
        <w:fldChar w:fldCharType="separate"/>
      </w:r>
      <w:r>
        <w:rPr>
          <w:rStyle w:val="12"/>
          <w:rFonts w:hint="eastAsia" w:ascii="Times New Roman" w:hAnsi="Times New Roman" w:cs="Times New Roman"/>
          <w:lang w:val="en-US" w:eastAsia="zh-CN"/>
        </w:rPr>
        <w:t>https://bio-protocol.org/en/bpdetail?id=1902&amp;type=0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lang w:val="en-US" w:eastAsia="zh-CN"/>
        </w:rPr>
        <w:t xml:space="preserve">. Other methods just for reference: </w:t>
      </w:r>
      <w:r>
        <w:rPr>
          <w:rFonts w:hint="eastAsia" w:ascii="Times New Roman" w:hAnsi="Times New Roman" w:cs="Times New Roman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lang w:val="en-US" w:eastAsia="zh-CN"/>
        </w:rPr>
        <w:instrText xml:space="preserve"> HYPERLINK "https://www.frontiersin.org/journals/cellular-and-infection-microbiology/articles/10.3389/fcimb.2016.00145/full" </w:instrText>
      </w:r>
      <w:r>
        <w:rPr>
          <w:rFonts w:hint="eastAsia" w:ascii="Times New Roman" w:hAnsi="Times New Roman" w:cs="Times New Roman"/>
          <w:lang w:val="en-US" w:eastAsia="zh-CN"/>
        </w:rPr>
        <w:fldChar w:fldCharType="separate"/>
      </w:r>
      <w:r>
        <w:rPr>
          <w:rStyle w:val="12"/>
          <w:rFonts w:hint="eastAsia" w:ascii="Times New Roman" w:hAnsi="Times New Roman" w:cs="Times New Roman"/>
          <w:lang w:val="en-US" w:eastAsia="zh-CN"/>
        </w:rPr>
        <w:t>https://www.frontiersin.org/journals/cellular-and-infection-microbiology/articles/10.3389/fcimb.2016.00145/full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lang w:val="en-US" w:eastAsia="zh-CN"/>
        </w:rPr>
        <w:t xml:space="preserve">; </w:t>
      </w:r>
      <w:r>
        <w:rPr>
          <w:rFonts w:hint="eastAsia" w:ascii="Times New Roman" w:hAnsi="Times New Roman" w:cs="Times New Roman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lang w:val="en-US" w:eastAsia="zh-CN"/>
        </w:rPr>
        <w:instrText xml:space="preserve"> HYPERLINK "https://www.sciencedirect.com/science/article/pii/S0043135406001916" </w:instrText>
      </w:r>
      <w:r>
        <w:rPr>
          <w:rFonts w:hint="eastAsia" w:ascii="Times New Roman" w:hAnsi="Times New Roman" w:cs="Times New Roman"/>
          <w:lang w:val="en-US" w:eastAsia="zh-CN"/>
        </w:rPr>
        <w:fldChar w:fldCharType="separate"/>
      </w:r>
      <w:r>
        <w:rPr>
          <w:rStyle w:val="12"/>
          <w:rFonts w:hint="eastAsia" w:ascii="Times New Roman" w:hAnsi="Times New Roman" w:cs="Times New Roman"/>
          <w:lang w:val="en-US" w:eastAsia="zh-CN"/>
        </w:rPr>
        <w:t>https://www.sciencedirect.com/science/article/pii/S0043135406001916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lang w:val="en-US" w:eastAsia="zh-CN"/>
        </w:rPr>
        <w:t xml:space="preserve">. </w:t>
      </w:r>
    </w:p>
    <w:p w14:paraId="2824DF30">
      <w:pPr>
        <w:jc w:val="both"/>
        <w:rPr>
          <w:rFonts w:hint="eastAsia" w:ascii="Times New Roman" w:hAnsi="Times New Roman" w:cs="Times New Roman"/>
          <w:lang w:val="en-US" w:eastAsia="zh-CN"/>
        </w:rPr>
      </w:pPr>
    </w:p>
    <w:p w14:paraId="19AD20C2">
      <w:pPr>
        <w:jc w:val="both"/>
        <w:rPr>
          <w:rStyle w:val="20"/>
          <w:rFonts w:hint="default" w:ascii="Times New Roman" w:hAnsi="Times New Roman" w:eastAsia="宋体" w:cs="Times New Roman"/>
          <w:b/>
          <w:bCs/>
          <w:color w:val="365F91"/>
          <w:kern w:val="2"/>
          <w:szCs w:val="28"/>
          <w:lang w:val="en-US" w:eastAsia="zh-CN" w:bidi="ar-SA"/>
          <w14:ligatures w14:val="standardContextual"/>
        </w:rPr>
      </w:pPr>
      <w:r>
        <w:rPr>
          <w:rStyle w:val="20"/>
          <w:rFonts w:hint="default" w:ascii="Times New Roman" w:hAnsi="Times New Roman" w:eastAsia="宋体" w:cs="Times New Roman"/>
          <w:b/>
          <w:bCs/>
          <w:color w:val="365F91"/>
          <w:kern w:val="2"/>
          <w:szCs w:val="28"/>
          <w:lang w:val="en-US" w:eastAsia="zh-CN" w:bidi="ar-SA"/>
          <w14:ligatures w14:val="standardContextual"/>
        </w:rPr>
        <w:t>Background</w:t>
      </w:r>
    </w:p>
    <w:p w14:paraId="6DFE36C2">
      <w:pPr>
        <w:jc w:val="both"/>
        <w:rPr>
          <w:rStyle w:val="20"/>
          <w:rFonts w:hint="default" w:ascii="Times New Roman" w:hAnsi="Times New Roman" w:eastAsia="宋体" w:cs="Times New Roman"/>
          <w:b/>
          <w:bCs/>
          <w:color w:val="365F91"/>
          <w:kern w:val="2"/>
          <w:szCs w:val="28"/>
          <w:lang w:val="en-US" w:eastAsia="zh-CN" w:bidi="ar-SA"/>
          <w14:ligatures w14:val="standardContextual"/>
        </w:rPr>
      </w:pPr>
    </w:p>
    <w:p w14:paraId="7D543D95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NAD/NADH Assay Kit (Colorimetric) ab65348 provides a convenient and sensitive tool to quantify NAD</w:t>
      </w:r>
      <w:r>
        <w:rPr>
          <w:rFonts w:hint="default" w:ascii="Times New Roman" w:hAnsi="Times New Roman" w:cs="Times New Roman"/>
          <w:vertAlign w:val="superscript"/>
          <w:lang w:val="en-US" w:eastAsia="zh-CN"/>
        </w:rPr>
        <w:t>+</w:t>
      </w:r>
      <w:r>
        <w:rPr>
          <w:rFonts w:hint="default" w:ascii="Times New Roman" w:hAnsi="Times New Roman" w:cs="Times New Roman"/>
          <w:lang w:val="en-US" w:eastAsia="zh-CN"/>
        </w:rPr>
        <w:t xml:space="preserve">, NADH, and measure their ratio. </w:t>
      </w:r>
    </w:p>
    <w:p w14:paraId="251515C1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The NAD cycling enzyme mix in the kit specifically acts on NADH/NAD, but not NADP nor NADPH, in a cycling reaction which significantly increases sensitivity and specificity. There is no requirement to purify NADH/NAD from samples. The levels of both NADt (total NAD</w:t>
      </w:r>
      <w:r>
        <w:rPr>
          <w:rFonts w:hint="default" w:ascii="Times New Roman" w:hAnsi="Times New Roman" w:cs="Times New Roman"/>
          <w:vertAlign w:val="superscript"/>
          <w:lang w:val="en-US" w:eastAsia="zh-CN"/>
        </w:rPr>
        <w:t>+</w:t>
      </w:r>
      <w:r>
        <w:rPr>
          <w:rFonts w:hint="default" w:ascii="Times New Roman" w:hAnsi="Times New Roman" w:cs="Times New Roman"/>
          <w:lang w:val="en-US" w:eastAsia="zh-CN"/>
        </w:rPr>
        <w:t xml:space="preserve"> and NADH) and NADH can be easily measured; the level of NAD</w:t>
      </w:r>
      <w:r>
        <w:rPr>
          <w:rFonts w:hint="default" w:ascii="Times New Roman" w:hAnsi="Times New Roman" w:cs="Times New Roman"/>
          <w:vertAlign w:val="superscript"/>
          <w:lang w:val="en-US" w:eastAsia="zh-CN"/>
        </w:rPr>
        <w:t>+</w:t>
      </w:r>
      <w:r>
        <w:rPr>
          <w:rFonts w:hint="default" w:ascii="Times New Roman" w:hAnsi="Times New Roman" w:cs="Times New Roman"/>
          <w:lang w:val="en-US" w:eastAsia="zh-CN"/>
        </w:rPr>
        <w:t xml:space="preserve"> can be calculated by subtracting NADH from NADt. The assay is read by absorbance at 450 nm.</w:t>
      </w:r>
    </w:p>
    <w:p w14:paraId="7CA1AC6C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Style w:val="20"/>
          <w:rFonts w:ascii="Times New Roman" w:hAnsi="Times New Roman" w:cs="Times New Roman"/>
        </w:rPr>
        <w:t>Required Equipment, Materials and Reagents:</w:t>
      </w:r>
    </w:p>
    <w:p w14:paraId="61609E79">
      <w:pPr>
        <w:jc w:val="both"/>
        <w:rPr>
          <w:rStyle w:val="20"/>
          <w:rFonts w:hint="default" w:ascii="Times New Roman" w:hAnsi="Times New Roman" w:cs="Times New Roman" w:eastAsiaTheme="minorEastAsia"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</w:rPr>
        <w:t>Equipment</w:t>
      </w:r>
      <w:r>
        <w:rPr>
          <w:rFonts w:ascii="Times New Roman" w:hAnsi="Times New Roman" w:cs="Times New Roman"/>
        </w:rPr>
        <w:t xml:space="preserve">: </w:t>
      </w:r>
      <w:r>
        <w:rPr>
          <w:rStyle w:val="20"/>
          <w:rFonts w:hint="default" w:ascii="Times New Roman" w:hAnsi="Times New Roman" w:eastAsia="宋体" w:cs="Times New Roman"/>
          <w:bCs/>
        </w:rPr>
        <w:t>Microplate reader capable of measuring absorbance (OD) at 450 nm (colorimetric)</w:t>
      </w:r>
      <w:r>
        <w:rPr>
          <w:rStyle w:val="20"/>
          <w:rFonts w:hint="default" w:ascii="Times New Roman" w:hAnsi="Times New Roman" w:eastAsia="宋体" w:cs="Times New Roman"/>
          <w:bCs/>
          <w:lang w:val="en-US"/>
        </w:rPr>
        <w:t xml:space="preserve">, </w:t>
      </w:r>
      <w:r>
        <w:rPr>
          <w:rStyle w:val="20"/>
          <w:rFonts w:hint="eastAsia" w:ascii="Times New Roman" w:hAnsi="Times New Roman" w:eastAsia="宋体" w:cs="Times New Roman"/>
          <w:bCs/>
          <w:lang w:val="en-US" w:eastAsia="zh-CN"/>
        </w:rPr>
        <w:t xml:space="preserve"> bead beater</w:t>
      </w:r>
      <w:r>
        <w:rPr>
          <w:rStyle w:val="20"/>
          <w:rFonts w:ascii="Times New Roman" w:hAnsi="Times New Roman" w:eastAsia="宋体" w:cs="Times New Roman"/>
          <w:bCs/>
        </w:rPr>
        <w:t>, table top centrifuge</w:t>
      </w:r>
      <w:r>
        <w:rPr>
          <w:rStyle w:val="20"/>
          <w:rFonts w:hint="eastAsia" w:ascii="Times New Roman" w:hAnsi="Times New Roman" w:eastAsia="宋体" w:cs="Times New Roman"/>
          <w:bCs/>
          <w:lang w:val="en-US" w:eastAsia="zh-CN"/>
        </w:rPr>
        <w:t xml:space="preserve"> (4</w:t>
      </w:r>
      <w:r>
        <w:rPr>
          <w:rStyle w:val="20"/>
          <w:rFonts w:hint="default" w:ascii="Times New Roman" w:hAnsi="Times New Roman" w:eastAsia="宋体" w:cs="Times New Roman"/>
          <w:bCs/>
          <w:lang w:val="en-US" w:eastAsia="zh-CN"/>
        </w:rPr>
        <w:t>℃</w:t>
      </w:r>
      <w:r>
        <w:rPr>
          <w:rStyle w:val="20"/>
          <w:rFonts w:hint="eastAsia" w:ascii="Times New Roman" w:hAnsi="Times New Roman" w:eastAsia="宋体" w:cs="Times New Roman"/>
          <w:bCs/>
          <w:lang w:val="en-US" w:eastAsia="zh-CN"/>
        </w:rPr>
        <w:t>)</w:t>
      </w:r>
      <w:r>
        <w:rPr>
          <w:rStyle w:val="20"/>
          <w:rFonts w:ascii="Times New Roman" w:hAnsi="Times New Roman" w:eastAsia="宋体" w:cs="Times New Roman"/>
          <w:bCs/>
        </w:rPr>
        <w:t>, block heater</w:t>
      </w:r>
      <w:r>
        <w:rPr>
          <w:rStyle w:val="20"/>
          <w:rFonts w:hint="eastAsia" w:ascii="Times New Roman" w:hAnsi="Times New Roman" w:eastAsia="宋体" w:cs="Times New Roman"/>
          <w:bCs/>
          <w:lang w:val="en-US" w:eastAsia="zh-CN"/>
        </w:rPr>
        <w:t xml:space="preserve"> (60</w:t>
      </w:r>
      <w:r>
        <w:rPr>
          <w:rStyle w:val="20"/>
          <w:rFonts w:hint="default" w:ascii="Times New Roman" w:hAnsi="Times New Roman" w:eastAsia="宋体" w:cs="Times New Roman"/>
          <w:bCs/>
          <w:lang w:val="en-US" w:eastAsia="zh-CN"/>
        </w:rPr>
        <w:t>℃</w:t>
      </w:r>
      <w:r>
        <w:rPr>
          <w:rStyle w:val="20"/>
          <w:rFonts w:hint="eastAsia" w:ascii="Times New Roman" w:hAnsi="Times New Roman" w:eastAsia="宋体" w:cs="Times New Roman"/>
          <w:bCs/>
          <w:lang w:val="en-US" w:eastAsia="zh-CN"/>
        </w:rPr>
        <w:t>)</w:t>
      </w:r>
    </w:p>
    <w:p w14:paraId="52AC6FE2">
      <w:pPr>
        <w:jc w:val="both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Style w:val="20"/>
          <w:rFonts w:hint="default" w:ascii="Times New Roman Bold" w:hAnsi="Times New Roman Bold" w:cs="Times New Roman Bold"/>
          <w:b/>
          <w:bCs w:val="0"/>
        </w:rPr>
        <w:t>Materials</w:t>
      </w:r>
      <w:r>
        <w:rPr>
          <w:rStyle w:val="20"/>
          <w:rFonts w:ascii="Times New Roman" w:hAnsi="Times New Roman" w:cs="Times New Roman"/>
          <w:bCs/>
        </w:rPr>
        <w:t>: 1.5 mL microcentrifuge tubes, tips</w:t>
      </w:r>
      <w:r>
        <w:rPr>
          <w:rStyle w:val="20"/>
          <w:rFonts w:hint="eastAsia" w:ascii="Times New Roman" w:hAnsi="Times New Roman" w:cs="Times New Roman"/>
          <w:bCs/>
          <w:lang w:val="en-US" w:eastAsia="zh-CN"/>
        </w:rPr>
        <w:t xml:space="preserve">, </w:t>
      </w:r>
      <w:r>
        <w:rPr>
          <w:rStyle w:val="20"/>
          <w:rFonts w:hint="eastAsia" w:ascii="Times New Roman" w:hAnsi="Times New Roman" w:eastAsia="宋体" w:cs="Times New Roman"/>
          <w:bCs/>
          <w:lang w:val="en-US" w:eastAsia="zh-CN"/>
        </w:rPr>
        <w:t>96 well clear plate with clear flat bottom (colorimetric assay)</w:t>
      </w:r>
      <w:r>
        <w:rPr>
          <w:rStyle w:val="20"/>
          <w:rFonts w:hint="default" w:ascii="Times New Roman" w:hAnsi="Times New Roman" w:eastAsia="宋体" w:cs="Times New Roman"/>
          <w:bCs/>
          <w:lang w:val="en-US" w:eastAsia="zh-CN"/>
        </w:rPr>
        <w:t xml:space="preserve">, </w:t>
      </w:r>
      <w:r>
        <w:rPr>
          <w:rStyle w:val="20"/>
          <w:rFonts w:hint="eastAsia" w:ascii="Times New Roman" w:hAnsi="Times New Roman" w:eastAsia="宋体" w:cs="Times New Roman"/>
          <w:bCs/>
          <w:lang w:val="en-US" w:eastAsia="zh-CN"/>
        </w:rPr>
        <w:t>10 kDa Spin Column (</w:t>
      </w:r>
      <w:r>
        <w:rPr>
          <w:rFonts w:hint="default" w:ascii="Times New Roman" w:hAnsi="Times New Roman" w:cs="Times New Roman"/>
          <w:lang w:val="en-US"/>
        </w:rPr>
        <w:t xml:space="preserve">Abcam, Catlog #: </w:t>
      </w:r>
      <w:r>
        <w:rPr>
          <w:rStyle w:val="20"/>
          <w:rFonts w:hint="eastAsia" w:ascii="Times New Roman" w:hAnsi="Times New Roman" w:eastAsia="宋体" w:cs="Times New Roman"/>
          <w:bCs/>
          <w:lang w:val="en-US" w:eastAsia="zh-CN"/>
        </w:rPr>
        <w:t>ab93349)</w:t>
      </w:r>
      <w:r>
        <w:rPr>
          <w:rStyle w:val="20"/>
          <w:rFonts w:hint="default" w:ascii="Times New Roman" w:hAnsi="Times New Roman" w:eastAsia="宋体" w:cs="Times New Roman"/>
          <w:bCs/>
          <w:lang w:val="en-US" w:eastAsia="zh-CN"/>
        </w:rPr>
        <w:t xml:space="preserve">, </w:t>
      </w:r>
    </w:p>
    <w:p w14:paraId="3C4D0878">
      <w:pPr>
        <w:jc w:val="both"/>
        <w:rPr>
          <w:rFonts w:ascii="Times New Roman" w:hAnsi="Times New Roman" w:cs="Times New Roman"/>
        </w:rPr>
      </w:pPr>
      <w:r>
        <w:rPr>
          <w:rFonts w:hint="default" w:ascii="Times New Roman Bold" w:hAnsi="Times New Roman Bold" w:cs="Times New Roman Bold"/>
          <w:b/>
          <w:bCs/>
        </w:rPr>
        <w:t>Reagents</w:t>
      </w:r>
      <w:r>
        <w:rPr>
          <w:rFonts w:ascii="Times New Roman" w:hAnsi="Times New Roman" w:cs="Times New Roman"/>
        </w:rPr>
        <w:t xml:space="preserve">: </w:t>
      </w:r>
    </w:p>
    <w:p w14:paraId="090B7DEB">
      <w:pPr>
        <w:pStyle w:val="19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bookmarkStart w:id="1" w:name="OLE_LINK105"/>
      <w:bookmarkStart w:id="2" w:name="OLE_LINK34"/>
      <w:r>
        <w:rPr>
          <w:rFonts w:hint="default" w:ascii="Times New Roman" w:hAnsi="Times New Roman" w:cs="Times New Roman"/>
        </w:rPr>
        <w:t>NAD/NADH Assay Kit (Colorimetric)</w:t>
      </w:r>
      <w:r>
        <w:rPr>
          <w:rFonts w:hint="default" w:ascii="Times New Roman" w:hAnsi="Times New Roman" w:cs="Times New Roman"/>
          <w:lang w:val="en-US"/>
        </w:rPr>
        <w:t xml:space="preserve"> (Abcam, Catlog #: ab65348)</w:t>
      </w:r>
    </w:p>
    <w:p w14:paraId="37216AB5">
      <w:pPr>
        <w:pStyle w:val="19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DNase/RNase Free Distilled Water </w:t>
      </w:r>
      <w:bookmarkEnd w:id="1"/>
      <w:r>
        <w:rPr>
          <w:rFonts w:ascii="Times New Roman" w:hAnsi="Times New Roman" w:cs="Times New Roman"/>
        </w:rPr>
        <w:t>(Ultrapure, Catlog #: 10977023)</w:t>
      </w:r>
    </w:p>
    <w:bookmarkEnd w:id="2"/>
    <w:p w14:paraId="52A01241">
      <w:pPr>
        <w:pStyle w:val="19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DMSO (VWR, Catlog #: 97063-136)</w:t>
      </w:r>
    </w:p>
    <w:p w14:paraId="48C94542">
      <w:pPr>
        <w:pStyle w:val="2"/>
        <w:numPr>
          <w:ilvl w:val="0"/>
          <w:numId w:val="2"/>
        </w:numPr>
        <w:rPr>
          <w:rStyle w:val="20"/>
          <w:rFonts w:ascii="Times New Roman" w:hAnsi="Times New Roman" w:cs="Times New Roman"/>
        </w:rPr>
      </w:pPr>
      <w:r>
        <w:rPr>
          <w:rStyle w:val="20"/>
          <w:rFonts w:hint="default" w:ascii="Times New Roman" w:hAnsi="Times New Roman" w:cs="Times New Roman"/>
          <w:lang w:val="en-US"/>
        </w:rPr>
        <w:t>Preparation</w:t>
      </w:r>
    </w:p>
    <w:p w14:paraId="6439CA39">
      <w:pPr>
        <w:pStyle w:val="2"/>
        <w:numPr>
          <w:ilvl w:val="1"/>
          <w:numId w:val="2"/>
        </w:numPr>
        <w:spacing w:before="100" w:beforeAutospacing="1" w:after="100" w:afterAutospacing="1"/>
        <w:ind w:left="0" w:leftChars="0" w:firstLineChars="0"/>
        <w:outlineLvl w:val="0"/>
        <w:rPr>
          <w:rStyle w:val="20"/>
          <w:rFonts w:hint="default" w:ascii="Times New Roman" w:hAnsi="Times New Roman" w:cs="Times New Roman"/>
          <w:lang w:val="en-US"/>
        </w:rPr>
      </w:pPr>
      <w:r>
        <w:rPr>
          <w:rStyle w:val="20"/>
          <w:rFonts w:hint="default" w:ascii="Times New Roman" w:hAnsi="Times New Roman" w:cs="Times New Roman"/>
          <w:lang w:val="en-US"/>
        </w:rPr>
        <w:t>Reagent Preparation (only need to perform once</w:t>
      </w:r>
      <w:r>
        <w:rPr>
          <w:rStyle w:val="20"/>
          <w:rFonts w:hint="eastAsia" w:ascii="Times New Roman" w:hAnsi="Times New Roman" w:eastAsia="宋体" w:cs="Times New Roman"/>
          <w:lang w:val="en-US" w:eastAsia="zh-CN"/>
        </w:rPr>
        <w:t xml:space="preserve"> for each kit</w:t>
      </w:r>
      <w:r>
        <w:rPr>
          <w:rStyle w:val="20"/>
          <w:rFonts w:hint="default" w:ascii="Times New Roman" w:hAnsi="Times New Roman" w:cs="Times New Roman"/>
          <w:lang w:val="en-US"/>
        </w:rPr>
        <w:t>): Day 0</w:t>
      </w:r>
    </w:p>
    <w:p w14:paraId="2A6CE635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Thaw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Extraction Buffer II and Cycling Buffer I at room temp. </w:t>
      </w:r>
    </w:p>
    <w:p w14:paraId="0AC6BAE5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Thaw NADH Standard, NAD Cycling Enzyme Mix, Developer Solution, and Stop Solution (all vials) on ice. Keep the NAD Cycling enzyme Mix AWAY FROM LIGHT. </w:t>
      </w:r>
    </w:p>
    <w:p w14:paraId="29C42B3B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Briefly centrifuge vials at low speed prior to opening.</w:t>
      </w:r>
    </w:p>
    <w:p w14:paraId="2DBCED0D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Reconstitute the reagents by: </w:t>
      </w:r>
    </w:p>
    <w:p w14:paraId="09CDE74D"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 Bold" w:hAnsi="Times New Roman Bold" w:cs="Times New Roman Bold" w:eastAsiaTheme="minorEastAsia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NADH Standard II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: Reconstitute NADH Standard II with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u w:val="single"/>
          <w:lang w:val="en-US" w:eastAsia="zh-CN" w:bidi="ar-SA"/>
          <w14:ligatures w14:val="standardContextual"/>
        </w:rPr>
        <w:t>200 µL of pure DMSO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to generate a 1nmol/µL (1 mM) NADH Standard II solution. Store at -20°C. </w:t>
      </w:r>
    </w:p>
    <w:p w14:paraId="6C4FCF61"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 Bold" w:hAnsi="Times New Roman Bold" w:cs="Times New Roman Bold" w:eastAsiaTheme="minorEastAsia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NAD Cycling Enzyme Mix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: Reconstitute NAD Cycling Enzyme Mix in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u w:val="single"/>
          <w:lang w:val="en-US" w:eastAsia="zh-CN" w:bidi="ar-SA"/>
          <w14:ligatures w14:val="standardContextual"/>
        </w:rPr>
        <w:t>220 µL Cycling Buffer I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. Keep on ice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u w:val="single"/>
          <w:lang w:val="en-US" w:eastAsia="zh-CN" w:bidi="ar-SA"/>
          <w14:ligatures w14:val="standardContextual"/>
        </w:rPr>
        <w:t>protected from light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during the assay. Store at -80°C. </w:t>
      </w:r>
    </w:p>
    <w:p w14:paraId="39EA80CE"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 Bold" w:hAnsi="Times New Roman Bold" w:cs="Times New Roman Bold" w:eastAsiaTheme="minorEastAsia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Developer Solution II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: Reconstitute Developer Solution II in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u w:val="single"/>
          <w:lang w:val="en-US" w:eastAsia="zh-CN" w:bidi="ar-SA"/>
          <w14:ligatures w14:val="standardContextual"/>
        </w:rPr>
        <w:t>1.2 mL of ddH2O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. Pipette up and down several times to ensure the pellet is completely dissolved.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u w:val="single"/>
          <w:lang w:val="en-US" w:eastAsia="zh-CN" w:bidi="ar-SA"/>
          <w14:ligatures w14:val="standardContextual"/>
        </w:rPr>
        <w:t>Do not vortex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. Store at - 20°C.</w:t>
      </w:r>
    </w:p>
    <w:p w14:paraId="71FBAFFC"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 Bold" w:hAnsi="Times New Roman Bold" w:cs="Times New Roman Bold" w:eastAsiaTheme="minorEastAsia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Extraction Buffer II and Cycling Buffer I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: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u w:val="single"/>
          <w:lang w:val="en-US" w:eastAsia="zh-CN" w:bidi="ar-SA"/>
          <w14:ligatures w14:val="standardContextual"/>
        </w:rPr>
        <w:t>Ready to use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as supplied. Equilibrate to room temperature before use. Store at 4°C or at -20°C. </w:t>
      </w:r>
    </w:p>
    <w:p w14:paraId="364169F9"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 Bold" w:hAnsi="Times New Roman Bold" w:cs="Times New Roman Bold" w:eastAsiaTheme="minorEastAsia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Stop Solution II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: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u w:val="single"/>
          <w:lang w:val="en-US" w:eastAsia="zh-CN" w:bidi="ar-SA"/>
          <w14:ligatures w14:val="standardContextual"/>
        </w:rPr>
        <w:t>Ready to use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as supplied. Equilibrate to room temperature before use. Store at - 20°C</w:t>
      </w:r>
    </w:p>
    <w:p w14:paraId="3B869F98">
      <w:pPr>
        <w:pStyle w:val="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Reconstituted reagents are stable for 2 months. </w:t>
      </w:r>
    </w:p>
    <w:p w14:paraId="17894B9C">
      <w:pPr>
        <w:pStyle w:val="2"/>
        <w:numPr>
          <w:ilvl w:val="1"/>
          <w:numId w:val="2"/>
        </w:numPr>
        <w:spacing w:before="100" w:beforeAutospacing="1" w:after="100" w:afterAutospacing="1"/>
        <w:ind w:left="0" w:leftChars="0" w:firstLineChars="0"/>
        <w:outlineLvl w:val="0"/>
        <w:rPr>
          <w:rStyle w:val="20"/>
          <w:rFonts w:hint="default" w:ascii="Times New Roman" w:hAnsi="Times New Roman" w:eastAsia="宋体" w:cs="Times New Roman"/>
          <w:lang w:val="en-US" w:eastAsia="zh-CN"/>
        </w:rPr>
      </w:pPr>
      <w:r>
        <w:rPr>
          <w:rStyle w:val="20"/>
          <w:rFonts w:hint="default" w:ascii="Times New Roman" w:hAnsi="Times New Roman" w:eastAsia="宋体" w:cs="Times New Roman"/>
          <w:lang w:val="en-US" w:eastAsia="zh-CN"/>
        </w:rPr>
        <w:t>Culture Preparation: Day 1-3</w:t>
      </w:r>
    </w:p>
    <w:p w14:paraId="432C2466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Streak </w:t>
      </w:r>
      <w:r>
        <w:rPr>
          <w:rFonts w:hint="default" w:ascii="Times New Roman Italic" w:hAnsi="Times New Roman Italic" w:cs="Times New Roman Italic" w:eastAsiaTheme="minorEastAsia"/>
          <w:b w:val="0"/>
          <w:bCs w:val="0"/>
          <w:i/>
          <w:i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L. reuteri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strain(s) of interest on MRS agar plate(s) with corresponding conditions  from cryo stock and incubate at 37°C in the hypoxic chamber until clear and separated colonies appear on the plate(s). </w:t>
      </w:r>
    </w:p>
    <w:p w14:paraId="794227EA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Innoculate an isolated colony into 10 mL MRS media with corresponding conditions in a 15mL centrifuge tube and incubate in a 37°C incubator overnight (~18 hrs). Prewarm 10 mL MRS media with corresponding conditions (different sugars, antibiotics, etc.) in a 15mL centrifuge tube at 37°C for the next day. </w:t>
      </w:r>
    </w:p>
    <w:p w14:paraId="39249175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Wash and subculture the overnight culture(s) into prewarmed MRS media with corresponding conditons to reach a final concentration of OD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vertAlign w:val="subscript"/>
          <w:lang w:val="en-US" w:eastAsia="zh-CN" w:bidi="ar-SA"/>
          <w14:ligatures w14:val="standardContextual"/>
        </w:rPr>
        <w:t>600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=0.1/mL by: </w:t>
      </w:r>
    </w:p>
    <w:p w14:paraId="40BCDE38">
      <w:pPr>
        <w:pStyle w:val="2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Measure OD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vertAlign w:val="subscript"/>
          <w:lang w:val="en-US" w:eastAsia="zh-CN" w:bidi="ar-SA"/>
          <w14:ligatures w14:val="standardContextual"/>
        </w:rPr>
        <w:t>600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of overnight culture(s)</w:t>
      </w:r>
    </w:p>
    <w:p w14:paraId="42E6A372">
      <w:pPr>
        <w:pStyle w:val="2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Calculate the amount of overnight culture(s) you need to subculture 10 mL media to reach a final OD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vertAlign w:val="subscript"/>
          <w:lang w:val="en-US" w:eastAsia="zh-CN" w:bidi="ar-SA"/>
          <w14:ligatures w14:val="standardContextual"/>
        </w:rPr>
        <w:t>600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= 0.1/mL. </w:t>
      </w:r>
    </w:p>
    <w:p w14:paraId="5C8C45EC">
      <w:pPr>
        <w:pStyle w:val="2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Transfer the required amount of overnight culture(s) to 1.5 mL centrifuge tube(s), centrifuge at 13000 rpm for 30 secs, remove the supernatent. </w:t>
      </w:r>
    </w:p>
    <w:p w14:paraId="089A8ABE">
      <w:pPr>
        <w:pStyle w:val="2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Wash the cells with 1mL dH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vertAlign w:val="subscript"/>
          <w:lang w:val="en-US" w:eastAsia="zh-CN" w:bidi="ar-SA"/>
          <w14:ligatures w14:val="standardContextual"/>
        </w:rPr>
        <w:t>2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O, resuspend by pipetting, centrifuge at 13000 rpm for 30 secs, remove the supernatent</w:t>
      </w:r>
    </w:p>
    <w:p w14:paraId="352FB134">
      <w:pPr>
        <w:pStyle w:val="2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Resuspend the cells in 100 µL dH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vertAlign w:val="subscript"/>
          <w:lang w:val="en-US" w:eastAsia="zh-CN" w:bidi="ar-SA"/>
          <w14:ligatures w14:val="standardContextual"/>
        </w:rPr>
        <w:t>2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O</w:t>
      </w:r>
    </w:p>
    <w:p w14:paraId="648A4C97">
      <w:pPr>
        <w:pStyle w:val="2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Transfer the resuspended culture(s) into the prewarmed MRS media with corresponding conditions and incubate the culture at 37°C incubator until cell harvest. </w:t>
      </w:r>
    </w:p>
    <w:p w14:paraId="25F1223A">
      <w:pPr>
        <w:pStyle w:val="2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 Bold" w:hAnsi="Times New Roman Bold" w:cs="Times New Roman Bold" w:eastAsiaTheme="minorEastAsia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NOTE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: NAD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vertAlign w:val="superscript"/>
          <w:lang w:val="en-US" w:eastAsia="zh-CN" w:bidi="ar-SA"/>
          <w14:ligatures w14:val="standardContextual"/>
        </w:rPr>
        <w:t>+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/NADH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ratio changes at different growth phases. It is recommended to run growth curves for each of your conditions and determine the normalized cell harvesting time before you run this assay. </w:t>
      </w:r>
    </w:p>
    <w:p w14:paraId="2A173FE4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After incubation is done, harvest the cells at OD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vertAlign w:val="subscript"/>
          <w:lang w:val="en-US" w:eastAsia="zh-CN" w:bidi="ar-SA"/>
          <w14:ligatures w14:val="standardContextual"/>
        </w:rPr>
        <w:t>600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= 2/mL for 1mL by: </w:t>
      </w:r>
    </w:p>
    <w:p w14:paraId="3D58C66E">
      <w:pPr>
        <w:pStyle w:val="2"/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Measure OD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vertAlign w:val="subscript"/>
          <w:lang w:val="en-US" w:eastAsia="zh-CN" w:bidi="ar-SA"/>
          <w14:ligatures w14:val="standardContextual"/>
        </w:rPr>
        <w:t>600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of the culture(s)</w:t>
      </w:r>
    </w:p>
    <w:p w14:paraId="06373103">
      <w:pPr>
        <w:pStyle w:val="2"/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Calculate the amount of culture(s) you need for harvesting 1mL cells of OD600 = 2/mL</w:t>
      </w:r>
    </w:p>
    <w:p w14:paraId="7038781A">
      <w:pPr>
        <w:pStyle w:val="2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Centrifuge at 13000rpm for 1 min at 4°C, remove the supernatent(s), repeat this step if your OD is too low and samples need to be concentrated. </w:t>
      </w:r>
    </w:p>
    <w:p w14:paraId="782CF1A1">
      <w:pPr>
        <w:pStyle w:val="2"/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Wash the cells with 1mL dH2O, resuspend by pipetting, centrifuge at 13000 rpm for 1 min at 4°C, remove the supernatent as much as possible without touching the pellet.</w:t>
      </w:r>
    </w:p>
    <w:p w14:paraId="68618932">
      <w:pPr>
        <w:pStyle w:val="2"/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Store the cell pellet(s) at -80°C until next step. </w:t>
      </w:r>
    </w:p>
    <w:p w14:paraId="0D0C6CBE">
      <w:pPr>
        <w:pStyle w:val="2"/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 Bold" w:hAnsi="Times New Roman Bold" w:cs="Times New Roman Bold" w:eastAsiaTheme="minorEastAsia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NOTE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: You have the option to adjsut the OD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vertAlign w:val="subscript"/>
          <w:lang w:val="en-US" w:eastAsia="zh-CN" w:bidi="ar-SA"/>
          <w14:ligatures w14:val="standardContextual"/>
        </w:rPr>
        <w:t>600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for harvesting cells depending on the sensitivity of the assay. OD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vertAlign w:val="subscript"/>
          <w:lang w:val="en-US" w:eastAsia="zh-CN" w:bidi="ar-SA"/>
          <w14:ligatures w14:val="standardContextual"/>
        </w:rPr>
        <w:t>600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= 2/mL worked for me. </w:t>
      </w:r>
    </w:p>
    <w:p w14:paraId="435A8527">
      <w:pPr>
        <w:pStyle w:val="2"/>
        <w:numPr>
          <w:ilvl w:val="1"/>
          <w:numId w:val="2"/>
        </w:numPr>
        <w:spacing w:before="100" w:beforeAutospacing="1" w:after="100" w:afterAutospacing="1"/>
        <w:ind w:left="0" w:leftChars="0" w:firstLineChars="0"/>
        <w:outlineLvl w:val="0"/>
        <w:rPr>
          <w:rStyle w:val="20"/>
          <w:rFonts w:hint="default" w:ascii="Times New Roman" w:hAnsi="Times New Roman" w:eastAsia="宋体" w:cs="Times New Roman"/>
          <w:lang w:val="en-US" w:eastAsia="zh-CN"/>
        </w:rPr>
      </w:pPr>
      <w:r>
        <w:rPr>
          <w:rStyle w:val="20"/>
          <w:rFonts w:hint="default" w:ascii="Times New Roman" w:hAnsi="Times New Roman" w:eastAsia="宋体" w:cs="Times New Roman"/>
          <w:lang w:val="en-US" w:eastAsia="zh-CN"/>
        </w:rPr>
        <w:t>Sample Preparation (NAD</w:t>
      </w:r>
      <w:r>
        <w:rPr>
          <w:rStyle w:val="20"/>
          <w:rFonts w:hint="default" w:ascii="Times New Roman" w:hAnsi="Times New Roman" w:eastAsia="宋体" w:cs="Times New Roman"/>
          <w:vertAlign w:val="superscript"/>
          <w:lang w:val="en-US" w:eastAsia="zh-CN"/>
        </w:rPr>
        <w:t>+</w:t>
      </w:r>
      <w:r>
        <w:rPr>
          <w:rStyle w:val="20"/>
          <w:rFonts w:hint="default" w:ascii="Times New Roman" w:hAnsi="Times New Roman" w:eastAsia="宋体" w:cs="Times New Roman"/>
          <w:lang w:val="en-US" w:eastAsia="zh-CN"/>
        </w:rPr>
        <w:t>/NADH extraction): Day 4</w:t>
      </w:r>
    </w:p>
    <w:p w14:paraId="0C638B1E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 Bold" w:hAnsi="Times New Roman Bold" w:cs="Times New Roman Bold" w:eastAsiaTheme="minorEastAsia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NOTE: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u w:val="single"/>
          <w:lang w:val="en-US" w:eastAsia="zh-CN" w:bidi="ar-SA"/>
          <w14:ligatures w14:val="standardContextual"/>
        </w:rPr>
        <w:t>NADH is fluorecent and sensitive to light.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Try your best to keep your extractions away from light. It is recommended to perfrom the assay in a dark room with only an indirect light source to prevent oxidation of NADH. </w:t>
      </w:r>
    </w:p>
    <w:p w14:paraId="2AA28D1F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Thaw freezed pellet(s) on ice and resuspend with 1 mL Extraction Buffer II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.</w:t>
      </w:r>
    </w:p>
    <w:p w14:paraId="0708786E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Transfer the resupended cells into the centrifuge cap micro tube containing 0.6 g Zirconia glass beads. </w:t>
      </w:r>
    </w:p>
    <w:p w14:paraId="3F29E1BE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Disrupt bacterial cells by two cycles of bead-beating for 90 secs with a 30 secs interval on ice.</w:t>
      </w:r>
    </w:p>
    <w:p w14:paraId="483C457C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Vortex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the extraction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(s)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for 10 seconds.</w:t>
      </w:r>
    </w:p>
    <w:p w14:paraId="35008CE4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Prepare cell-free extract by centrifuging the sample at 15000 rpm for 3 mins at 4°C</w:t>
      </w:r>
    </w:p>
    <w:p w14:paraId="3B460FE6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Collect supernatant (containing extracted NAD/NADH, about 600uL ) and transfer into a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10 kDa Spin Column (ab93349) </w:t>
      </w:r>
    </w:p>
    <w:p w14:paraId="6B30DF21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Add sample(s) to the spin column, centrifuge at 10,000 x g for 15 minutes at 4°C. 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If there are leftovers in the spin column(s), spin for a longer time. </w:t>
      </w:r>
    </w:p>
    <w:p w14:paraId="6E31ACF5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Transfer 4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5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0 uL filtrate into a new 1.5 mL centrifuge tube. </w:t>
      </w:r>
    </w:p>
    <w:p w14:paraId="5BA9AAA6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You have the option to store the 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filtrate(s)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at -20°C until next step.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Remember to keep away from light. </w:t>
      </w:r>
    </w:p>
    <w:p w14:paraId="0413191C">
      <w:pPr>
        <w:pStyle w:val="2"/>
        <w:numPr>
          <w:ilvl w:val="0"/>
          <w:numId w:val="2"/>
        </w:numPr>
        <w:spacing w:before="100" w:beforeAutospacing="1" w:after="100" w:afterAutospacing="1"/>
        <w:ind w:left="0" w:leftChars="0" w:firstLine="0" w:firstLineChars="0"/>
        <w:outlineLvl w:val="0"/>
        <w:rPr>
          <w:rStyle w:val="20"/>
          <w:rFonts w:hint="default" w:ascii="Times New Roman" w:hAnsi="Times New Roman" w:eastAsia="宋体" w:cs="Times New Roman"/>
          <w:lang w:val="en-US" w:eastAsia="zh-CN"/>
        </w:rPr>
      </w:pPr>
      <w:r>
        <w:rPr>
          <w:rStyle w:val="20"/>
          <w:rFonts w:hint="default" w:ascii="Times New Roman" w:hAnsi="Times New Roman" w:eastAsia="宋体" w:cs="Times New Roman"/>
          <w:lang w:val="en-US" w:eastAsia="zh-CN"/>
        </w:rPr>
        <w:t>Operation</w:t>
      </w:r>
      <w:r>
        <w:rPr>
          <w:rStyle w:val="20"/>
          <w:rFonts w:hint="eastAsia" w:ascii="Times New Roman" w:hAnsi="Times New Roman" w:eastAsia="宋体" w:cs="Times New Roman"/>
          <w:lang w:val="en-US" w:eastAsia="zh-CN"/>
        </w:rPr>
        <w:t>: Day 4</w:t>
      </w:r>
    </w:p>
    <w:p w14:paraId="5EC345CD">
      <w:pPr>
        <w:pStyle w:val="2"/>
        <w:numPr>
          <w:ilvl w:val="1"/>
          <w:numId w:val="2"/>
        </w:numPr>
        <w:spacing w:before="100" w:beforeAutospacing="1" w:after="100" w:afterAutospacing="1"/>
        <w:ind w:left="0" w:leftChars="0" w:firstLine="0" w:firstLineChars="0"/>
        <w:outlineLvl w:val="0"/>
        <w:rPr>
          <w:rStyle w:val="20"/>
          <w:rFonts w:hint="eastAsia" w:ascii="Times New Roman" w:hAnsi="Times New Roman" w:eastAsia="宋体" w:cs="Times New Roman"/>
          <w:lang w:val="en-US" w:eastAsia="zh-CN"/>
        </w:rPr>
      </w:pPr>
      <w:r>
        <w:rPr>
          <w:rStyle w:val="20"/>
          <w:rFonts w:hint="eastAsia" w:ascii="Times New Roman" w:hAnsi="Times New Roman" w:eastAsia="宋体" w:cs="Times New Roman"/>
          <w:lang w:val="en-US" w:eastAsia="zh-CN"/>
        </w:rPr>
        <w:t>Standard Preparation</w:t>
      </w:r>
    </w:p>
    <w:p w14:paraId="0D7ABA33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 Bold" w:hAnsi="Times New Roman Bold" w:cs="Times New Roman Bold" w:eastAsiaTheme="minorEastAsia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N</w:t>
      </w:r>
      <w:r>
        <w:rPr>
          <w:rFonts w:hint="eastAsia" w:ascii="Times New Roman Bold" w:hAnsi="Times New Roman Bold" w:cs="Times New Roman Bold" w:eastAsiaTheme="minorEastAsia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OTE</w:t>
      </w:r>
      <w:r>
        <w:rPr>
          <w:rFonts w:hint="default" w:ascii="Times New Roman Bold" w:hAnsi="Times New Roman Bold" w:cs="Times New Roman Bold" w:eastAsiaTheme="minorEastAsia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: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Always prepare fresh standard samples for every use. </w:t>
      </w:r>
    </w:p>
    <w:p w14:paraId="10FBB95C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 Bold" w:hAnsi="Times New Roman Bold" w:cs="Times New Roman Bold" w:eastAsiaTheme="minorEastAsia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N</w:t>
      </w:r>
      <w:r>
        <w:rPr>
          <w:rFonts w:hint="eastAsia" w:ascii="Times New Roman Bold" w:hAnsi="Times New Roman Bold" w:cs="Times New Roman Bold" w:eastAsiaTheme="minorEastAsia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OTE</w:t>
      </w:r>
      <w:r>
        <w:rPr>
          <w:rFonts w:hint="default" w:ascii="Times New Roman Bold" w:hAnsi="Times New Roman Bold" w:cs="Times New Roman Bold" w:eastAsiaTheme="minorEastAsia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: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Diluted standard samples must be used within 4 hours. </w:t>
      </w:r>
    </w:p>
    <w:p w14:paraId="12F5D5C9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Add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5 µL NADH Standard II to 495 µL Extraction Buffer II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to reach a final concentration of  10 µM (10 pmoles/µL). </w:t>
      </w:r>
    </w:p>
    <w:p w14:paraId="49C8A748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Gently pipette up and down a few times to ensure all standard is removed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from tip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. </w:t>
      </w:r>
    </w:p>
    <w:p w14:paraId="078EF8A1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Mix by inversion. </w:t>
      </w:r>
    </w:p>
    <w:p w14:paraId="36335572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Using the diluted 10 pmoles/µL NADH standard, add 0, 2, 4, 6, 8, 10 µl NADH Standard into a series of wells, generating 0, 20, 40, 60, 80, 100 pmoles/well of NADH Standard. A template 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layout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for 96-well plate is provided below. </w:t>
      </w:r>
    </w:p>
    <w:p w14:paraId="2094253A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Adjust the volume to 50 µl/well with Extraction Buffer II. It is recommended to plate in duplicates. </w:t>
      </w:r>
      <w:r>
        <w:drawing>
          <wp:inline distT="0" distB="0" distL="114300" distR="114300">
            <wp:extent cx="5937250" cy="1161415"/>
            <wp:effectExtent l="0" t="0" r="6350" b="698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02380">
      <w:pPr>
        <w:pStyle w:val="2"/>
        <w:numPr>
          <w:ilvl w:val="1"/>
          <w:numId w:val="2"/>
        </w:numPr>
        <w:spacing w:before="100" w:beforeAutospacing="1" w:after="100" w:afterAutospacing="1"/>
        <w:ind w:left="0" w:leftChars="0" w:firstLineChars="0"/>
        <w:outlineLvl w:val="0"/>
        <w:rPr>
          <w:rStyle w:val="20"/>
          <w:rFonts w:hint="default" w:ascii="Times New Roman" w:hAnsi="Times New Roman" w:eastAsia="宋体" w:cs="Times New Roman"/>
          <w:lang w:val="en-US" w:eastAsia="zh-CN"/>
        </w:rPr>
      </w:pPr>
      <w:r>
        <w:rPr>
          <w:rStyle w:val="20"/>
          <w:rFonts w:hint="default" w:ascii="Times New Roman" w:hAnsi="Times New Roman" w:eastAsia="宋体" w:cs="Times New Roman"/>
          <w:lang w:val="en-US" w:eastAsia="zh-CN"/>
        </w:rPr>
        <w:t>NAD+ Decomposition (if NADH detection is needed)</w:t>
      </w:r>
    </w:p>
    <w:p w14:paraId="55AFD74A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Aliquot 200 µL of extracted samples into 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1.5 mL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microcentrifuge tubes. </w:t>
      </w:r>
    </w:p>
    <w:p w14:paraId="26920F0E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Heat samples to 60°C for 30 minutes in a heating block. Under these conditions, all NAD+ will be decomposed while the NADH will still be intact. </w:t>
      </w:r>
    </w:p>
    <w:p w14:paraId="3638C6E4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Cool samples on ice for 5 minutes. </w:t>
      </w:r>
    </w:p>
    <w:p w14:paraId="0B6556E4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If precipitation occurs, centrifuge for 5 minutes at 4°C at top speed in a microcentrifuge to remove any insoluble material.</w:t>
      </w:r>
    </w:p>
    <w:p w14:paraId="15C5D6F8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Label samples as NAD decomposed samples.</w:t>
      </w:r>
    </w:p>
    <w:p w14:paraId="01644659">
      <w:pPr>
        <w:pStyle w:val="2"/>
        <w:numPr>
          <w:ilvl w:val="1"/>
          <w:numId w:val="2"/>
        </w:numPr>
        <w:spacing w:before="100" w:beforeAutospacing="1" w:after="100" w:afterAutospacing="1"/>
        <w:ind w:left="0" w:leftChars="0" w:firstLineChars="0"/>
        <w:outlineLvl w:val="0"/>
        <w:rPr>
          <w:rStyle w:val="20"/>
          <w:rFonts w:hint="default" w:ascii="Times New Roman" w:hAnsi="Times New Roman" w:eastAsia="宋体" w:cs="Times New Roman"/>
          <w:lang w:val="en-US" w:eastAsia="zh-CN"/>
        </w:rPr>
      </w:pPr>
      <w:r>
        <w:rPr>
          <w:rStyle w:val="20"/>
          <w:rFonts w:hint="default" w:ascii="Times New Roman" w:hAnsi="Times New Roman" w:eastAsia="宋体" w:cs="Times New Roman"/>
          <w:lang w:val="en-US" w:eastAsia="zh-CN"/>
        </w:rPr>
        <w:t>Reaction Well Set Up</w:t>
      </w:r>
    </w:p>
    <w:p w14:paraId="75CC0300">
      <w:pPr>
        <w:pStyle w:val="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Chars="0"/>
        <w:jc w:val="left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Standard wells = 50 µL standard dilutions.</w:t>
      </w:r>
    </w:p>
    <w:p w14:paraId="4FE01AD4">
      <w:pPr>
        <w:pStyle w:val="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Chars="0"/>
        <w:jc w:val="left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Sample Background wells = 1 – 50 µL samples (adjust volume to 50 µL/well with Extraction Buffer II). I use 50 uL samples directly. </w:t>
      </w:r>
    </w:p>
    <w:p w14:paraId="438D4580">
      <w:pPr>
        <w:pStyle w:val="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Chars="0"/>
        <w:jc w:val="left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NADtotal Sample wells = 1 – 50 µL samples (adjust volume to 50 µL/well with Extraction Buffer II). I use 50 uL samples directly.</w:t>
      </w:r>
    </w:p>
    <w:p w14:paraId="370F1B18">
      <w:pPr>
        <w:pStyle w:val="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Chars="0"/>
        <w:jc w:val="left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NADH Sample wells = 1 – 50 µL NAD decomposed samples (adjust volume to 50 µL/well with Extraction Buffer II). I use 50 uL samples directly. </w:t>
      </w:r>
    </w:p>
    <w:p w14:paraId="48F5EF97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P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repare 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required amount of Reaction Mix and Background Reaction Mix as stated in the calculation and box below: </w:t>
      </w:r>
    </w:p>
    <w:p w14:paraId="5D4C5137">
      <w:pPr>
        <w:pStyle w:val="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Chars="0"/>
        <w:jc w:val="center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X µL component x (Number reactions +1)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0"/>
        <w:gridCol w:w="3191"/>
        <w:gridCol w:w="3191"/>
      </w:tblGrid>
      <w:tr w14:paraId="4B8E4842">
        <w:tc>
          <w:tcPr>
            <w:tcW w:w="3190" w:type="dxa"/>
          </w:tcPr>
          <w:p w14:paraId="6E7B72D5">
            <w:pPr>
              <w:pStyle w:val="2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/>
              <w:ind w:leftChars="0"/>
              <w:textAlignment w:val="auto"/>
              <w:outlineLvl w:val="0"/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  <w:t>Component</w:t>
            </w:r>
          </w:p>
        </w:tc>
        <w:tc>
          <w:tcPr>
            <w:tcW w:w="3191" w:type="dxa"/>
          </w:tcPr>
          <w:p w14:paraId="45A54734">
            <w:pPr>
              <w:pStyle w:val="2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/>
              <w:ind w:leftChars="0"/>
              <w:textAlignment w:val="auto"/>
              <w:outlineLvl w:val="0"/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  <w:t>Reaction Mix (µL)</w:t>
            </w:r>
          </w:p>
        </w:tc>
        <w:tc>
          <w:tcPr>
            <w:tcW w:w="3191" w:type="dxa"/>
          </w:tcPr>
          <w:p w14:paraId="4C894EBC">
            <w:pPr>
              <w:pStyle w:val="2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/>
              <w:ind w:leftChars="0"/>
              <w:textAlignment w:val="auto"/>
              <w:outlineLvl w:val="0"/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  <w:t xml:space="preserve">Background </w:t>
            </w:r>
            <w:r>
              <w:rPr>
                <w:rFonts w:hint="eastAsia" w:ascii="Times New Roman" w:hAnsi="Times New Roman" w:cs="Times New Roman" w:eastAsiaTheme="minorEastAsia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  <w:t>r</w:t>
            </w: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  <w:t>eaction Mix(µL)</w:t>
            </w:r>
          </w:p>
        </w:tc>
      </w:tr>
      <w:tr w14:paraId="134E982F">
        <w:tc>
          <w:tcPr>
            <w:tcW w:w="3190" w:type="dxa"/>
          </w:tcPr>
          <w:p w14:paraId="3C47843A">
            <w:pPr>
              <w:pStyle w:val="2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/>
              <w:ind w:leftChars="0"/>
              <w:textAlignment w:val="auto"/>
              <w:outlineLvl w:val="0"/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  <w:t>Cycling Buffer I</w:t>
            </w:r>
          </w:p>
        </w:tc>
        <w:tc>
          <w:tcPr>
            <w:tcW w:w="3191" w:type="dxa"/>
          </w:tcPr>
          <w:p w14:paraId="6CA46D5E">
            <w:pPr>
              <w:pStyle w:val="2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/>
              <w:ind w:leftChars="0"/>
              <w:jc w:val="center"/>
              <w:textAlignment w:val="auto"/>
              <w:outlineLvl w:val="0"/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  <w:t>98</w:t>
            </w:r>
          </w:p>
        </w:tc>
        <w:tc>
          <w:tcPr>
            <w:tcW w:w="3191" w:type="dxa"/>
          </w:tcPr>
          <w:p w14:paraId="36FDC4D0">
            <w:pPr>
              <w:pStyle w:val="2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/>
              <w:ind w:leftChars="0"/>
              <w:jc w:val="center"/>
              <w:textAlignment w:val="auto"/>
              <w:outlineLvl w:val="0"/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  <w:t>100</w:t>
            </w:r>
          </w:p>
        </w:tc>
      </w:tr>
      <w:tr w14:paraId="2C8E3261">
        <w:tc>
          <w:tcPr>
            <w:tcW w:w="3190" w:type="dxa"/>
          </w:tcPr>
          <w:p w14:paraId="6A020616">
            <w:pPr>
              <w:pStyle w:val="2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/>
              <w:ind w:leftChars="0"/>
              <w:textAlignment w:val="auto"/>
              <w:outlineLvl w:val="0"/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  <w:t>NAD Cycling Enzyme Mix</w:t>
            </w:r>
          </w:p>
        </w:tc>
        <w:tc>
          <w:tcPr>
            <w:tcW w:w="3191" w:type="dxa"/>
          </w:tcPr>
          <w:p w14:paraId="21C50A35">
            <w:pPr>
              <w:pStyle w:val="2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/>
              <w:ind w:leftChars="0"/>
              <w:jc w:val="center"/>
              <w:textAlignment w:val="auto"/>
              <w:outlineLvl w:val="0"/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  <w:t>2</w:t>
            </w:r>
          </w:p>
        </w:tc>
        <w:tc>
          <w:tcPr>
            <w:tcW w:w="3191" w:type="dxa"/>
          </w:tcPr>
          <w:p w14:paraId="7E10AFC3">
            <w:pPr>
              <w:pStyle w:val="2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/>
              <w:ind w:leftChars="0"/>
              <w:jc w:val="center"/>
              <w:textAlignment w:val="auto"/>
              <w:outlineLvl w:val="0"/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  <w14:ligatures w14:val="standardContextual"/>
              </w:rPr>
              <w:t>0</w:t>
            </w:r>
          </w:p>
        </w:tc>
      </w:tr>
    </w:tbl>
    <w:p w14:paraId="7E01E9A7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Mix Master Reaction Mix by inversion</w:t>
      </w:r>
    </w:p>
    <w:p w14:paraId="24BA7593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Add 100 µL of the Reaction Mix to each standard and sample well. Use a clean tip for each well.</w:t>
      </w:r>
    </w:p>
    <w:p w14:paraId="2FB3F957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Add 100 µL of Background Reaction Mix to sample background control sample wells.</w:t>
      </w:r>
    </w:p>
    <w:p w14:paraId="2E5556A5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Incubate plate at room temperature for 5 minutes to convert NAD to NADH.</w:t>
      </w:r>
    </w:p>
    <w:p w14:paraId="2C04BBD3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Add 10 µL of Developer Solution II into each well and mix. 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NOTE: The color develops very fast, you need to be quick or use a multichannel pipette if you have a large amount of sample to test at the same time</w:t>
      </w:r>
    </w:p>
    <w:p w14:paraId="04A980BE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Let the reaction cycle at room temperature for 1-4 hours or longer depending on the reading.</w:t>
      </w:r>
    </w:p>
    <w:p w14:paraId="1593F117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Measure plate at OD 450 nm multiple times or in kinetics mode during the 1 – 4 hours. There is a protocol named Abcam NAD/NADH 1-4 hours saved in the Glomax Plate Reader for direct use. </w:t>
      </w:r>
    </w:p>
    <w:p w14:paraId="3BDB47BF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The plate can be read multiple times while the color is still developing. Longer incubation times maybe needed depending on the OD reading. </w:t>
      </w:r>
    </w:p>
    <w:p w14:paraId="38396100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Style w:val="20"/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OPTIONAL: The reaction can be stopped by adding 10 µL of Stop Solution II into each well and mixing thoroughly. The color should be stable for 48 hours in a sealed plate after addition of the Stop Solution II.</w:t>
      </w:r>
    </w:p>
    <w:p w14:paraId="0B1E4F0E">
      <w:pPr>
        <w:pStyle w:val="2"/>
        <w:numPr>
          <w:ilvl w:val="1"/>
          <w:numId w:val="2"/>
        </w:numPr>
        <w:spacing w:before="100" w:beforeAutospacing="1" w:after="100" w:afterAutospacing="1"/>
        <w:ind w:left="0" w:leftChars="0" w:firstLineChars="0"/>
        <w:outlineLvl w:val="0"/>
        <w:rPr>
          <w:rStyle w:val="20"/>
          <w:rFonts w:hint="default" w:ascii="Times New Roman" w:hAnsi="Times New Roman" w:eastAsia="宋体" w:cs="Times New Roman"/>
          <w:lang w:val="en-US" w:eastAsia="zh-CN"/>
        </w:rPr>
      </w:pPr>
      <w:r>
        <w:rPr>
          <w:rStyle w:val="20"/>
          <w:rFonts w:hint="default" w:ascii="Times New Roman" w:hAnsi="Times New Roman" w:eastAsia="宋体" w:cs="Times New Roman"/>
          <w:lang w:val="en-US" w:eastAsia="zh-CN"/>
        </w:rPr>
        <w:t>Calculation</w:t>
      </w:r>
    </w:p>
    <w:p w14:paraId="10BE22CC">
      <w:pPr>
        <w:pStyle w:val="2"/>
        <w:numPr>
          <w:numId w:val="0"/>
        </w:numPr>
        <w:spacing w:before="100" w:beforeAutospacing="1" w:after="100" w:afterAutospacing="1"/>
        <w:outlineLvl w:val="0"/>
        <w:rPr>
          <w:rStyle w:val="20"/>
          <w:rFonts w:hint="default" w:ascii="Times New Roman" w:hAnsi="Times New Roman" w:eastAsia="宋体" w:cs="Times New Roman"/>
          <w:color w:val="auto"/>
          <w:lang w:val="en-US" w:eastAsia="zh-CN"/>
        </w:rPr>
      </w:pPr>
      <w:r>
        <w:rPr>
          <w:rStyle w:val="20"/>
          <w:rFonts w:hint="eastAsia" w:ascii="Times New Roman" w:hAnsi="Times New Roman" w:eastAsia="宋体" w:cs="Times New Roman"/>
          <w:color w:val="auto"/>
          <w:lang w:val="en-US" w:eastAsia="zh-CN"/>
        </w:rPr>
        <w:t>A</w:t>
      </w:r>
      <w:r>
        <w:rPr>
          <w:rStyle w:val="20"/>
          <w:rFonts w:hint="default" w:ascii="Times New Roman" w:hAnsi="Times New Roman" w:eastAsia="宋体" w:cs="Times New Roman"/>
          <w:color w:val="auto"/>
          <w:lang w:val="en-US" w:eastAsia="zh-CN"/>
        </w:rPr>
        <w:t xml:space="preserve">n organized excel spreadsheet for calculations is here: </w:t>
      </w:r>
      <w:r>
        <w:rPr>
          <w:rStyle w:val="20"/>
          <w:rFonts w:hint="default" w:ascii="Times New Roman" w:hAnsi="Times New Roman" w:eastAsia="宋体" w:cs="Times New Roman"/>
          <w:color w:val="auto"/>
          <w:lang w:val="en-US" w:eastAsia="zh-CN"/>
        </w:rPr>
        <w:fldChar w:fldCharType="begin"/>
      </w:r>
      <w:r>
        <w:rPr>
          <w:rStyle w:val="20"/>
          <w:rFonts w:hint="default" w:ascii="Times New Roman" w:hAnsi="Times New Roman" w:eastAsia="宋体" w:cs="Times New Roman"/>
          <w:color w:val="auto"/>
          <w:lang w:val="en-US" w:eastAsia="zh-CN"/>
        </w:rPr>
        <w:instrText xml:space="preserve"> HYPERLINK "https://github.com/Memoryjianjian/VPL_NAD-H-_Calculations_Template.git" </w:instrText>
      </w:r>
      <w:r>
        <w:rPr>
          <w:rStyle w:val="20"/>
          <w:rFonts w:hint="default" w:ascii="Times New Roman" w:hAnsi="Times New Roman" w:eastAsia="宋体" w:cs="Times New Roman"/>
          <w:color w:val="auto"/>
          <w:lang w:val="en-US" w:eastAsia="zh-CN"/>
        </w:rPr>
        <w:fldChar w:fldCharType="separate"/>
      </w:r>
      <w:r>
        <w:rPr>
          <w:rStyle w:val="12"/>
          <w:rFonts w:hint="default" w:ascii="Times New Roman" w:hAnsi="Times New Roman" w:eastAsia="宋体" w:cs="Times New Roman"/>
          <w:sz w:val="24"/>
          <w:lang w:val="en-US" w:eastAsia="zh-CN"/>
        </w:rPr>
        <w:t>https://github.com/Memoryjianjian/VPL_NAD-H-_Calculations_Template.git</w:t>
      </w:r>
      <w:r>
        <w:rPr>
          <w:rStyle w:val="20"/>
          <w:rFonts w:hint="default" w:ascii="Times New Roman" w:hAnsi="Times New Roman" w:eastAsia="宋体" w:cs="Times New Roman"/>
          <w:color w:val="auto"/>
          <w:lang w:val="en-US" w:eastAsia="zh-CN"/>
        </w:rPr>
        <w:fldChar w:fldCharType="end"/>
      </w:r>
      <w:bookmarkStart w:id="3" w:name="_GoBack"/>
      <w:bookmarkEnd w:id="3"/>
    </w:p>
    <w:p w14:paraId="5F335F59">
      <w:pPr>
        <w:pStyle w:val="2"/>
        <w:numPr>
          <w:numId w:val="0"/>
        </w:numPr>
        <w:spacing w:before="100" w:beforeAutospacing="1" w:after="100" w:afterAutospacing="1"/>
        <w:outlineLvl w:val="0"/>
        <w:rPr>
          <w:rStyle w:val="20"/>
          <w:rFonts w:hint="default" w:ascii="Times New Roman" w:hAnsi="Times New Roman" w:eastAsia="宋体" w:cs="Times New Roman"/>
          <w:color w:val="auto"/>
          <w:lang w:val="en-US" w:eastAsia="zh-CN"/>
        </w:rPr>
      </w:pPr>
      <w:r>
        <w:rPr>
          <w:rStyle w:val="20"/>
          <w:rFonts w:hint="default" w:ascii="Times New Roman" w:hAnsi="Times New Roman" w:eastAsia="宋体" w:cs="Times New Roman"/>
          <w:color w:val="auto"/>
          <w:lang w:val="en-US" w:eastAsia="zh-CN"/>
        </w:rPr>
        <w:t xml:space="preserve">For your reference: </w:t>
      </w:r>
    </w:p>
    <w:p w14:paraId="13149DD1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Concentration of NADt or NADH in the test samples is calculated as:</w:t>
      </w:r>
    </w:p>
    <w:p w14:paraId="5411C410">
      <w:pPr>
        <w:pStyle w:val="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Chars="0"/>
        <w:textAlignment w:val="auto"/>
        <w:outlineLvl w:val="0"/>
      </w:pPr>
      <w:r>
        <w:drawing>
          <wp:inline distT="0" distB="0" distL="114300" distR="114300">
            <wp:extent cx="4539615" cy="803275"/>
            <wp:effectExtent l="0" t="0" r="6985" b="952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BFDA6">
      <w:pPr>
        <w:pStyle w:val="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Where:</w:t>
      </w:r>
    </w:p>
    <w:p w14:paraId="17FBA024">
      <w:pPr>
        <w:pStyle w:val="2"/>
        <w:keepNext w:val="0"/>
        <w:keepLines w:val="0"/>
        <w:pageBreakBefore w:val="0"/>
        <w:widowControl/>
        <w:numPr>
          <w:ilvl w:val="0"/>
          <w:numId w:val="8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NADt = amount of NADt in the sample well calculated from standard curve (in pmoles).</w:t>
      </w:r>
    </w:p>
    <w:p w14:paraId="00517DA3">
      <w:pPr>
        <w:pStyle w:val="2"/>
        <w:keepNext w:val="0"/>
        <w:keepLines w:val="0"/>
        <w:pageBreakBefore w:val="0"/>
        <w:widowControl/>
        <w:numPr>
          <w:ilvl w:val="0"/>
          <w:numId w:val="8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NADH = amount of NADH in the sample well calculated from standard curve (in pmoles).</w:t>
      </w:r>
    </w:p>
    <w:p w14:paraId="5ABDD20D">
      <w:pPr>
        <w:pStyle w:val="2"/>
        <w:keepNext w:val="0"/>
        <w:keepLines w:val="0"/>
        <w:pageBreakBefore w:val="0"/>
        <w:widowControl/>
        <w:numPr>
          <w:ilvl w:val="0"/>
          <w:numId w:val="8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V = sample volume added to the reaction well (in µL).</w:t>
      </w:r>
    </w:p>
    <w:p w14:paraId="099F839F">
      <w:pPr>
        <w:pStyle w:val="2"/>
        <w:keepNext w:val="0"/>
        <w:keepLines w:val="0"/>
        <w:pageBreakBefore w:val="0"/>
        <w:widowControl/>
        <w:numPr>
          <w:ilvl w:val="0"/>
          <w:numId w:val="8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83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D = sample dilution factor (before addition to the well).</w:t>
      </w:r>
    </w:p>
    <w:p w14:paraId="281F0345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418" w:leftChars="0" w:hanging="418" w:firstLine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 xml:space="preserve">NAD/NADH Ratio is calculated as: </w:t>
      </w:r>
    </w:p>
    <w:p w14:paraId="3DD49D65">
      <w:pPr>
        <w:pStyle w:val="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Chars="0"/>
        <w:textAlignment w:val="auto"/>
        <w:outlineLvl w:val="0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drawing>
          <wp:inline distT="0" distB="0" distL="114300" distR="114300">
            <wp:extent cx="3772535" cy="513080"/>
            <wp:effectExtent l="0" t="0" r="12065" b="2032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footerReference r:id="rId5" w:type="even"/>
      <w:pgSz w:w="12240" w:h="15840"/>
      <w:pgMar w:top="1440" w:right="1444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Garamond">
    <w:altName w:val="苹方-简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 CNS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enturyGoth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enturyGothic-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M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Mat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3"/>
      </w:rPr>
      <w:id w:val="531988612"/>
      <w:docPartObj>
        <w:docPartGallery w:val="AutoText"/>
      </w:docPartObj>
    </w:sdtPr>
    <w:sdtEndPr>
      <w:rPr>
        <w:rStyle w:val="13"/>
      </w:rPr>
    </w:sdtEndPr>
    <w:sdtContent>
      <w:p w14:paraId="41891468">
        <w:pPr>
          <w:pStyle w:val="10"/>
          <w:framePr w:wrap="auto" w:vAnchor="text" w:hAnchor="margin" w:xAlign="center" w:y="1"/>
          <w:rPr>
            <w:rStyle w:val="13"/>
          </w:rPr>
        </w:pPr>
        <w:r>
          <w:rPr>
            <w:rStyle w:val="13"/>
          </w:rPr>
          <w:fldChar w:fldCharType="begin"/>
        </w:r>
        <w:r>
          <w:rPr>
            <w:rStyle w:val="13"/>
          </w:rPr>
          <w:instrText xml:space="preserve"> PAGE </w:instrText>
        </w:r>
        <w:r>
          <w:rPr>
            <w:rStyle w:val="13"/>
          </w:rPr>
          <w:fldChar w:fldCharType="separate"/>
        </w:r>
        <w:r>
          <w:rPr>
            <w:rStyle w:val="13"/>
          </w:rPr>
          <w:t>1</w:t>
        </w:r>
        <w:r>
          <w:rPr>
            <w:rStyle w:val="13"/>
          </w:rPr>
          <w:fldChar w:fldCharType="end"/>
        </w:r>
      </w:p>
    </w:sdtContent>
  </w:sdt>
  <w:p w14:paraId="116DEF7C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3"/>
      </w:rPr>
      <w:id w:val="-1"/>
      <w:docPartObj>
        <w:docPartGallery w:val="AutoText"/>
      </w:docPartObj>
    </w:sdtPr>
    <w:sdtEndPr>
      <w:rPr>
        <w:rStyle w:val="13"/>
      </w:rPr>
    </w:sdtEndPr>
    <w:sdtContent>
      <w:p w14:paraId="4EE973B1">
        <w:pPr>
          <w:pStyle w:val="10"/>
          <w:framePr w:wrap="auto" w:vAnchor="text" w:hAnchor="margin" w:xAlign="center" w:y="1"/>
          <w:rPr>
            <w:rStyle w:val="13"/>
          </w:rPr>
        </w:pPr>
        <w:r>
          <w:rPr>
            <w:rStyle w:val="13"/>
          </w:rPr>
          <w:fldChar w:fldCharType="begin"/>
        </w:r>
        <w:r>
          <w:rPr>
            <w:rStyle w:val="13"/>
          </w:rPr>
          <w:instrText xml:space="preserve"> PAGE </w:instrText>
        </w:r>
        <w:r>
          <w:rPr>
            <w:rStyle w:val="13"/>
          </w:rPr>
          <w:fldChar w:fldCharType="end"/>
        </w:r>
      </w:p>
    </w:sdtContent>
  </w:sdt>
  <w:p w14:paraId="0491229C"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D5126">
    <w:pPr>
      <w:pStyle w:val="11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763270</wp:posOffset>
              </wp:positionH>
              <wp:positionV relativeFrom="paragraph">
                <wp:posOffset>-361315</wp:posOffset>
              </wp:positionV>
              <wp:extent cx="4742815" cy="881380"/>
              <wp:effectExtent l="0" t="0" r="6985" b="762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42815" cy="8813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C3AC6F2">
                          <w:pPr>
                            <w:keepNext w:val="0"/>
                            <w:keepLines w:val="0"/>
                            <w:pageBreakBefore w:val="0"/>
                            <w:widowControl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180" w:lineRule="auto"/>
                            <w:jc w:val="center"/>
                            <w:textAlignment w:val="auto"/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</w:rPr>
                            <w:t>van Pijkeren Laboratory</w:t>
                          </w:r>
                        </w:p>
                        <w:p w14:paraId="5C952686">
                          <w:pPr>
                            <w:keepNext w:val="0"/>
                            <w:keepLines w:val="0"/>
                            <w:pageBreakBefore w:val="0"/>
                            <w:widowControl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180" w:lineRule="auto"/>
                            <w:jc w:val="center"/>
                            <w:textAlignment w:val="auto"/>
                            <w:rPr>
                              <w:rFonts w:ascii="Garamond" w:hAnsi="Garamond"/>
                            </w:rPr>
                          </w:pPr>
                          <w:r>
                            <w:rPr>
                              <w:rFonts w:ascii="Garamond" w:hAnsi="Garamond"/>
                            </w:rPr>
                            <w:t>Department of Food Science</w:t>
                          </w:r>
                        </w:p>
                        <w:p w14:paraId="2350EBE4">
                          <w:pPr>
                            <w:keepNext w:val="0"/>
                            <w:keepLines w:val="0"/>
                            <w:pageBreakBefore w:val="0"/>
                            <w:widowControl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192" w:lineRule="auto"/>
                            <w:jc w:val="center"/>
                            <w:textAlignment w:val="auto"/>
                            <w:rPr>
                              <w:rFonts w:ascii="Garamond" w:hAnsi="Garamond"/>
                            </w:rPr>
                          </w:pPr>
                          <w:r>
                            <w:rPr>
                              <w:rFonts w:ascii="Garamond" w:hAnsi="Garamond"/>
                            </w:rPr>
                            <w:t>1605 Linden Drive, Room 209, Madison, Wisconsin, US 53706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60.1pt;margin-top:-28.45pt;height:69.4pt;width:373.45pt;z-index:251660288;mso-width-relative:page;mso-height-relative:page;" fillcolor="#FFFFFF [3201]" filled="t" stroked="f" coordsize="21600,21600" o:gfxdata="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p2aP8NUAAAAKAQAADwAAAAAAAAABACAAAAAiAAAAZHJz&#10;L2Rvd25yZXYueG1sUEsBAhQAFAAAAAgAh07iQP0PACFAAgAAjgQAAA4AAAAAAAAAAQAgAAAAJAEA&#10;AGRycy9lMm9Eb2MueG1sUEsFBgAAAAAGAAYAWQEAANY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C3AC6F2">
                    <w:pPr>
                      <w:keepNext w:val="0"/>
                      <w:keepLines w:val="0"/>
                      <w:pageBreakBefore w:val="0"/>
                      <w:widowControl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/>
                      <w:spacing w:line="180" w:lineRule="auto"/>
                      <w:jc w:val="center"/>
                      <w:textAlignment w:val="auto"/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</w:rPr>
                      <w:t>van Pijkeren Laboratory</w:t>
                    </w:r>
                  </w:p>
                  <w:p w14:paraId="5C952686">
                    <w:pPr>
                      <w:keepNext w:val="0"/>
                      <w:keepLines w:val="0"/>
                      <w:pageBreakBefore w:val="0"/>
                      <w:widowControl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/>
                      <w:spacing w:line="180" w:lineRule="auto"/>
                      <w:jc w:val="center"/>
                      <w:textAlignment w:val="auto"/>
                      <w:rPr>
                        <w:rFonts w:ascii="Garamond" w:hAnsi="Garamond"/>
                      </w:rPr>
                    </w:pPr>
                    <w:r>
                      <w:rPr>
                        <w:rFonts w:ascii="Garamond" w:hAnsi="Garamond"/>
                      </w:rPr>
                      <w:t>Department of Food Science</w:t>
                    </w:r>
                  </w:p>
                  <w:p w14:paraId="2350EBE4">
                    <w:pPr>
                      <w:keepNext w:val="0"/>
                      <w:keepLines w:val="0"/>
                      <w:pageBreakBefore w:val="0"/>
                      <w:widowControl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/>
                      <w:spacing w:line="192" w:lineRule="auto"/>
                      <w:jc w:val="center"/>
                      <w:textAlignment w:val="auto"/>
                      <w:rPr>
                        <w:rFonts w:ascii="Garamond" w:hAnsi="Garamond"/>
                      </w:rPr>
                    </w:pPr>
                    <w:r>
                      <w:rPr>
                        <w:rFonts w:ascii="Garamond" w:hAnsi="Garamond"/>
                      </w:rPr>
                      <w:t>1605 Linden Drive, Room 209, Madison, Wisconsin, US 53706</w:t>
                    </w:r>
                  </w:p>
                </w:txbxContent>
              </v:textbox>
            </v:shape>
          </w:pict>
        </mc:Fallback>
      </mc:AlternateContent>
    </w: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5587365</wp:posOffset>
          </wp:positionH>
          <wp:positionV relativeFrom="paragraph">
            <wp:posOffset>-398145</wp:posOffset>
          </wp:positionV>
          <wp:extent cx="938530" cy="938530"/>
          <wp:effectExtent l="0" t="0" r="1270" b="1270"/>
          <wp:wrapThrough wrapText="bothSides">
            <wp:wrapPolygon>
              <wp:start x="0" y="0"/>
              <wp:lineTo x="0" y="21337"/>
              <wp:lineTo x="21337" y="21337"/>
              <wp:lineTo x="21337" y="0"/>
              <wp:lineTo x="0" y="0"/>
            </wp:wrapPolygon>
          </wp:wrapThrough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8530" cy="938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-544195</wp:posOffset>
          </wp:positionH>
          <wp:positionV relativeFrom="paragraph">
            <wp:posOffset>-264795</wp:posOffset>
          </wp:positionV>
          <wp:extent cx="1042035" cy="741045"/>
          <wp:effectExtent l="0" t="0" r="0" b="0"/>
          <wp:wrapThrough wrapText="bothSides">
            <wp:wrapPolygon>
              <wp:start x="0" y="0"/>
              <wp:lineTo x="0" y="21100"/>
              <wp:lineTo x="21324" y="21100"/>
              <wp:lineTo x="21324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016" t="9462" r="8941" b="3034"/>
                  <a:stretch>
                    <a:fillRect/>
                  </a:stretch>
                </pic:blipFill>
                <pic:spPr>
                  <a:xfrm>
                    <a:off x="0" y="0"/>
                    <a:ext cx="1042035" cy="74104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4B6B1EDB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7E8639"/>
    <w:multiLevelType w:val="singleLevel"/>
    <w:tmpl w:val="857E8639"/>
    <w:lvl w:ilvl="0" w:tentative="0">
      <w:start w:val="1"/>
      <w:numFmt w:val="bullet"/>
      <w:lvlText w:val="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Wingdings" w:hAnsi="Wingdings"/>
        <w:sz w:val="16"/>
      </w:rPr>
    </w:lvl>
  </w:abstractNum>
  <w:abstractNum w:abstractNumId="1">
    <w:nsid w:val="D9AEDF97"/>
    <w:multiLevelType w:val="singleLevel"/>
    <w:tmpl w:val="D9AEDF97"/>
    <w:lvl w:ilvl="0" w:tentative="0">
      <w:start w:val="1"/>
      <w:numFmt w:val="bullet"/>
      <w:lvlText w:val="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Wingdings" w:hAnsi="Wingdings"/>
        <w:sz w:val="16"/>
      </w:rPr>
    </w:lvl>
  </w:abstractNum>
  <w:abstractNum w:abstractNumId="2">
    <w:nsid w:val="E1FF22F5"/>
    <w:multiLevelType w:val="singleLevel"/>
    <w:tmpl w:val="E1FF22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/>
        <w:sz w:val="16"/>
      </w:rPr>
    </w:lvl>
  </w:abstractNum>
  <w:abstractNum w:abstractNumId="3">
    <w:nsid w:val="F3BF9CCA"/>
    <w:multiLevelType w:val="singleLevel"/>
    <w:tmpl w:val="F3BF9CCA"/>
    <w:lvl w:ilvl="0" w:tentative="0">
      <w:start w:val="1"/>
      <w:numFmt w:val="bullet"/>
      <w:lvlText w:val="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Wingdings" w:hAnsi="Wingdings"/>
        <w:sz w:val="16"/>
      </w:rPr>
    </w:lvl>
  </w:abstractNum>
  <w:abstractNum w:abstractNumId="4">
    <w:nsid w:val="F6FE9165"/>
    <w:multiLevelType w:val="singleLevel"/>
    <w:tmpl w:val="F6FE9165"/>
    <w:lvl w:ilvl="0" w:tentative="0">
      <w:start w:val="1"/>
      <w:numFmt w:val="bullet"/>
      <w:lvlText w:val="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Wingdings" w:hAnsi="Wingdings"/>
        <w:sz w:val="16"/>
      </w:rPr>
    </w:lvl>
  </w:abstractNum>
  <w:abstractNum w:abstractNumId="5">
    <w:nsid w:val="F77AFA9F"/>
    <w:multiLevelType w:val="multilevel"/>
    <w:tmpl w:val="F77AFA9F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6">
    <w:nsid w:val="FBFD056C"/>
    <w:multiLevelType w:val="multilevel"/>
    <w:tmpl w:val="FBFD056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516E233A"/>
    <w:multiLevelType w:val="multilevel"/>
    <w:tmpl w:val="516E233A"/>
    <w:lvl w:ilvl="0" w:tentative="0">
      <w:start w:val="1"/>
      <w:numFmt w:val="bullet"/>
      <w:lvlText w:val=""/>
      <w:lvlJc w:val="left"/>
      <w:pPr>
        <w:ind w:left="29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1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73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45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17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89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1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33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054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4"/>
  </w:num>
  <w:num w:numId="5">
    <w:abstractNumId w:val="2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51C"/>
    <w:rsid w:val="00046DBD"/>
    <w:rsid w:val="000A2F64"/>
    <w:rsid w:val="000C35E1"/>
    <w:rsid w:val="00114CD4"/>
    <w:rsid w:val="0016520D"/>
    <w:rsid w:val="001775D4"/>
    <w:rsid w:val="001805A5"/>
    <w:rsid w:val="001874C6"/>
    <w:rsid w:val="001D21F8"/>
    <w:rsid w:val="002C4436"/>
    <w:rsid w:val="002C603E"/>
    <w:rsid w:val="002F6D92"/>
    <w:rsid w:val="002F7206"/>
    <w:rsid w:val="00317237"/>
    <w:rsid w:val="003336A2"/>
    <w:rsid w:val="003469FA"/>
    <w:rsid w:val="003D3D8E"/>
    <w:rsid w:val="00404C5A"/>
    <w:rsid w:val="00436207"/>
    <w:rsid w:val="004415E8"/>
    <w:rsid w:val="0045077A"/>
    <w:rsid w:val="0046523B"/>
    <w:rsid w:val="00466D28"/>
    <w:rsid w:val="00472BDB"/>
    <w:rsid w:val="00517B8C"/>
    <w:rsid w:val="0053051C"/>
    <w:rsid w:val="00564B11"/>
    <w:rsid w:val="00571F3B"/>
    <w:rsid w:val="00574D7E"/>
    <w:rsid w:val="00580085"/>
    <w:rsid w:val="00583E96"/>
    <w:rsid w:val="00592762"/>
    <w:rsid w:val="006536F6"/>
    <w:rsid w:val="006725BA"/>
    <w:rsid w:val="00711749"/>
    <w:rsid w:val="007209B9"/>
    <w:rsid w:val="00722BDE"/>
    <w:rsid w:val="00753117"/>
    <w:rsid w:val="00823FBB"/>
    <w:rsid w:val="009244EA"/>
    <w:rsid w:val="00974624"/>
    <w:rsid w:val="00A51D25"/>
    <w:rsid w:val="00A525F6"/>
    <w:rsid w:val="00A769AB"/>
    <w:rsid w:val="00A944A1"/>
    <w:rsid w:val="00B732B6"/>
    <w:rsid w:val="00C82398"/>
    <w:rsid w:val="00CC7AF3"/>
    <w:rsid w:val="00D02CDB"/>
    <w:rsid w:val="00D06CBB"/>
    <w:rsid w:val="00D70B25"/>
    <w:rsid w:val="00DD3FF9"/>
    <w:rsid w:val="00DE54A7"/>
    <w:rsid w:val="00DF5618"/>
    <w:rsid w:val="00E11C9B"/>
    <w:rsid w:val="00E15BED"/>
    <w:rsid w:val="00E616DA"/>
    <w:rsid w:val="00E645A8"/>
    <w:rsid w:val="00E962B8"/>
    <w:rsid w:val="00E979C6"/>
    <w:rsid w:val="00EE3195"/>
    <w:rsid w:val="00EE49F9"/>
    <w:rsid w:val="00F15AA5"/>
    <w:rsid w:val="00F4488D"/>
    <w:rsid w:val="00F76AA9"/>
    <w:rsid w:val="00FE2FC3"/>
    <w:rsid w:val="1BFEAC5D"/>
    <w:rsid w:val="1C7FCCC3"/>
    <w:rsid w:val="1F31E512"/>
    <w:rsid w:val="2DC6180D"/>
    <w:rsid w:val="2DFF558F"/>
    <w:rsid w:val="2FFF435F"/>
    <w:rsid w:val="35FC702F"/>
    <w:rsid w:val="37D60712"/>
    <w:rsid w:val="3B3794E8"/>
    <w:rsid w:val="3B6E7BAF"/>
    <w:rsid w:val="3D97C074"/>
    <w:rsid w:val="3DEC6BB5"/>
    <w:rsid w:val="3E7D8DA8"/>
    <w:rsid w:val="3FDDA9BB"/>
    <w:rsid w:val="3FF372C5"/>
    <w:rsid w:val="3FFFDCF4"/>
    <w:rsid w:val="40A75A40"/>
    <w:rsid w:val="44928352"/>
    <w:rsid w:val="47FF2001"/>
    <w:rsid w:val="4FFDEE13"/>
    <w:rsid w:val="557C7559"/>
    <w:rsid w:val="56DDD62D"/>
    <w:rsid w:val="56FF5832"/>
    <w:rsid w:val="594A9919"/>
    <w:rsid w:val="59F81D2C"/>
    <w:rsid w:val="5BD720DC"/>
    <w:rsid w:val="5BFFC0DD"/>
    <w:rsid w:val="5DE37928"/>
    <w:rsid w:val="5DFFDED8"/>
    <w:rsid w:val="5EDECFDA"/>
    <w:rsid w:val="5FC00CF7"/>
    <w:rsid w:val="5FFFA548"/>
    <w:rsid w:val="67772C0A"/>
    <w:rsid w:val="67F38ED5"/>
    <w:rsid w:val="6AF70934"/>
    <w:rsid w:val="6BBFA1DB"/>
    <w:rsid w:val="6BFFFFEA"/>
    <w:rsid w:val="6C6FF44E"/>
    <w:rsid w:val="6D97ABA7"/>
    <w:rsid w:val="6DF24934"/>
    <w:rsid w:val="6EFE59F1"/>
    <w:rsid w:val="6FDDDCE5"/>
    <w:rsid w:val="6FFDBA6D"/>
    <w:rsid w:val="71FD2585"/>
    <w:rsid w:val="737B64DD"/>
    <w:rsid w:val="73AFABD1"/>
    <w:rsid w:val="73FF010A"/>
    <w:rsid w:val="77EE4297"/>
    <w:rsid w:val="7AED3414"/>
    <w:rsid w:val="7AFF928C"/>
    <w:rsid w:val="7CFFE652"/>
    <w:rsid w:val="7D76DEC4"/>
    <w:rsid w:val="7DDFB91E"/>
    <w:rsid w:val="7DFBED76"/>
    <w:rsid w:val="7E3B57EF"/>
    <w:rsid w:val="7EAAE046"/>
    <w:rsid w:val="7EDA92B2"/>
    <w:rsid w:val="7EDDB113"/>
    <w:rsid w:val="7EEDC3B0"/>
    <w:rsid w:val="7EFFAF4D"/>
    <w:rsid w:val="7F5F8998"/>
    <w:rsid w:val="7F6C22B3"/>
    <w:rsid w:val="7F8D3DFB"/>
    <w:rsid w:val="7FBEFE4F"/>
    <w:rsid w:val="7FBF7ECA"/>
    <w:rsid w:val="7FE3BA04"/>
    <w:rsid w:val="7FED850A"/>
    <w:rsid w:val="7FEF3002"/>
    <w:rsid w:val="7FFB63B1"/>
    <w:rsid w:val="7FFFEDD0"/>
    <w:rsid w:val="83DFBF17"/>
    <w:rsid w:val="9CFC3BF6"/>
    <w:rsid w:val="9F7FCBCB"/>
    <w:rsid w:val="9FF74BFC"/>
    <w:rsid w:val="AFEC83AC"/>
    <w:rsid w:val="AFFB3889"/>
    <w:rsid w:val="B0EEE5C0"/>
    <w:rsid w:val="B27F63CE"/>
    <w:rsid w:val="B6FDE612"/>
    <w:rsid w:val="B7DF856D"/>
    <w:rsid w:val="B9A3A4F4"/>
    <w:rsid w:val="BB9E5024"/>
    <w:rsid w:val="BD99541A"/>
    <w:rsid w:val="BFDEE6D9"/>
    <w:rsid w:val="C67CB7FF"/>
    <w:rsid w:val="C7F77592"/>
    <w:rsid w:val="CBF6FBC7"/>
    <w:rsid w:val="CFD76458"/>
    <w:rsid w:val="D3B4A884"/>
    <w:rsid w:val="D3FEB622"/>
    <w:rsid w:val="D5CFC413"/>
    <w:rsid w:val="D8B3D5BD"/>
    <w:rsid w:val="D8FDFB90"/>
    <w:rsid w:val="DAFFDED2"/>
    <w:rsid w:val="DBB7EF69"/>
    <w:rsid w:val="DCF08915"/>
    <w:rsid w:val="DCF0C7F9"/>
    <w:rsid w:val="DCFF76CE"/>
    <w:rsid w:val="DDF11637"/>
    <w:rsid w:val="DDFFF7C1"/>
    <w:rsid w:val="DEB3398B"/>
    <w:rsid w:val="DEBF67E0"/>
    <w:rsid w:val="DFDAC132"/>
    <w:rsid w:val="E3960480"/>
    <w:rsid w:val="E3DAA80F"/>
    <w:rsid w:val="E9EFC64F"/>
    <w:rsid w:val="ED6543E5"/>
    <w:rsid w:val="EF6FFC92"/>
    <w:rsid w:val="EF7B2A38"/>
    <w:rsid w:val="EFDFF23A"/>
    <w:rsid w:val="F36D337F"/>
    <w:rsid w:val="F3DCB031"/>
    <w:rsid w:val="F5AECDB7"/>
    <w:rsid w:val="F5BF581B"/>
    <w:rsid w:val="F5FD7CBE"/>
    <w:rsid w:val="F6A37272"/>
    <w:rsid w:val="F6C978BD"/>
    <w:rsid w:val="F7BF8A29"/>
    <w:rsid w:val="F7FE3272"/>
    <w:rsid w:val="F7FF8294"/>
    <w:rsid w:val="F9DFD163"/>
    <w:rsid w:val="F9ED1AC5"/>
    <w:rsid w:val="F9FB2C04"/>
    <w:rsid w:val="FA7337B3"/>
    <w:rsid w:val="FABEC7B7"/>
    <w:rsid w:val="FBDC7850"/>
    <w:rsid w:val="FBF7C82B"/>
    <w:rsid w:val="FBFC2DE7"/>
    <w:rsid w:val="FC4E107A"/>
    <w:rsid w:val="FC7F5ACB"/>
    <w:rsid w:val="FD9FA210"/>
    <w:rsid w:val="FE7FCCA5"/>
    <w:rsid w:val="FE7FDFEF"/>
    <w:rsid w:val="FEB97BBD"/>
    <w:rsid w:val="FEF39D4C"/>
    <w:rsid w:val="FEF3BA76"/>
    <w:rsid w:val="FF710F89"/>
    <w:rsid w:val="FF7F4AF8"/>
    <w:rsid w:val="FFAF7DB0"/>
    <w:rsid w:val="FFAFEBB5"/>
    <w:rsid w:val="FFBF9B4C"/>
    <w:rsid w:val="FFEF7B02"/>
    <w:rsid w:val="FFFBA8B4"/>
    <w:rsid w:val="FFFDB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4"/>
      <w:szCs w:val="24"/>
      <w:lang w:val="en-CA" w:eastAsia="zh-CN" w:bidi="ar-SA"/>
      <w14:ligatures w14:val="standardContextual"/>
    </w:rPr>
  </w:style>
  <w:style w:type="paragraph" w:styleId="2">
    <w:name w:val="heading 1"/>
    <w:basedOn w:val="1"/>
    <w:link w:val="18"/>
    <w:qFormat/>
    <w:uiPriority w:val="9"/>
    <w:pPr>
      <w:spacing w:before="100" w:beforeAutospacing="1" w:after="100" w:afterAutospacing="1"/>
      <w:outlineLvl w:val="0"/>
    </w:pPr>
    <w:rPr>
      <w:rFonts w:ascii="Cambria" w:hAnsi="Cambria" w:eastAsia="Times New Roman"/>
      <w:b/>
      <w:bCs/>
      <w:color w:val="365F91"/>
      <w:sz w:val="28"/>
      <w:szCs w:val="2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annotation reference"/>
    <w:basedOn w:val="4"/>
    <w:semiHidden/>
    <w:unhideWhenUsed/>
    <w:uiPriority w:val="99"/>
    <w:rPr>
      <w:sz w:val="16"/>
      <w:szCs w:val="16"/>
    </w:rPr>
  </w:style>
  <w:style w:type="paragraph" w:styleId="7">
    <w:name w:val="annotation text"/>
    <w:basedOn w:val="1"/>
    <w:link w:val="23"/>
    <w:semiHidden/>
    <w:unhideWhenUsed/>
    <w:uiPriority w:val="99"/>
    <w:rPr>
      <w:sz w:val="20"/>
      <w:szCs w:val="20"/>
    </w:rPr>
  </w:style>
  <w:style w:type="paragraph" w:styleId="8">
    <w:name w:val="annotation subject"/>
    <w:basedOn w:val="7"/>
    <w:next w:val="7"/>
    <w:link w:val="24"/>
    <w:semiHidden/>
    <w:unhideWhenUsed/>
    <w:uiPriority w:val="99"/>
    <w:rPr>
      <w:b/>
      <w:bCs/>
    </w:rPr>
  </w:style>
  <w:style w:type="character" w:styleId="9">
    <w:name w:val="FollowedHyperlink"/>
    <w:basedOn w:val="4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0">
    <w:name w:val="footer"/>
    <w:basedOn w:val="1"/>
    <w:link w:val="16"/>
    <w:unhideWhenUsed/>
    <w:uiPriority w:val="99"/>
    <w:pPr>
      <w:tabs>
        <w:tab w:val="center" w:pos="4680"/>
        <w:tab w:val="right" w:pos="9360"/>
      </w:tabs>
    </w:pPr>
  </w:style>
  <w:style w:type="paragraph" w:styleId="11">
    <w:name w:val="header"/>
    <w:basedOn w:val="1"/>
    <w:link w:val="15"/>
    <w:unhideWhenUsed/>
    <w:uiPriority w:val="99"/>
    <w:pPr>
      <w:tabs>
        <w:tab w:val="center" w:pos="4680"/>
        <w:tab w:val="right" w:pos="9360"/>
      </w:tabs>
    </w:pPr>
  </w:style>
  <w:style w:type="character" w:styleId="12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page number"/>
    <w:basedOn w:val="4"/>
    <w:semiHidden/>
    <w:unhideWhenUsed/>
    <w:uiPriority w:val="99"/>
  </w:style>
  <w:style w:type="table" w:styleId="14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Header Char"/>
    <w:basedOn w:val="4"/>
    <w:link w:val="11"/>
    <w:uiPriority w:val="99"/>
  </w:style>
  <w:style w:type="character" w:customStyle="1" w:styleId="16">
    <w:name w:val="Footer Char"/>
    <w:basedOn w:val="4"/>
    <w:link w:val="10"/>
    <w:uiPriority w:val="99"/>
  </w:style>
  <w:style w:type="paragraph" w:styleId="17">
    <w:name w:val="No Spacing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  <w14:ligatures w14:val="none"/>
    </w:rPr>
  </w:style>
  <w:style w:type="character" w:customStyle="1" w:styleId="18">
    <w:name w:val="Heading 1 Char"/>
    <w:link w:val="2"/>
    <w:qFormat/>
    <w:uiPriority w:val="0"/>
    <w:rPr>
      <w:rFonts w:ascii="Cambria" w:hAnsi="Cambria" w:eastAsia="Times New Roman"/>
      <w:b/>
      <w:bCs/>
      <w:color w:val="365F91"/>
      <w:sz w:val="28"/>
      <w:szCs w:val="28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Character Style 1"/>
    <w:qFormat/>
    <w:uiPriority w:val="0"/>
    <w:rPr>
      <w:rFonts w:ascii="Arial" w:hAnsi="Arial"/>
      <w:sz w:val="24"/>
    </w:rPr>
  </w:style>
  <w:style w:type="character" w:customStyle="1" w:styleId="21">
    <w:name w:val="Unresolved Mention"/>
    <w:basedOn w:val="4"/>
    <w:semiHidden/>
    <w:unhideWhenUsed/>
    <w:uiPriority w:val="99"/>
    <w:rPr>
      <w:color w:val="605E5C"/>
      <w:shd w:val="clear" w:color="auto" w:fill="E1DFDD"/>
    </w:rPr>
  </w:style>
  <w:style w:type="character" w:customStyle="1" w:styleId="22">
    <w:name w:val="Heading 1 Char1"/>
    <w:basedOn w:val="4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Comment Text Char"/>
    <w:basedOn w:val="4"/>
    <w:link w:val="7"/>
    <w:semiHidden/>
    <w:uiPriority w:val="99"/>
    <w:rPr>
      <w:sz w:val="20"/>
      <w:szCs w:val="20"/>
    </w:rPr>
  </w:style>
  <w:style w:type="character" w:customStyle="1" w:styleId="24">
    <w:name w:val="Comment Subject Char"/>
    <w:basedOn w:val="23"/>
    <w:link w:val="8"/>
    <w:semiHidden/>
    <w:uiPriority w:val="99"/>
    <w:rPr>
      <w:b/>
      <w:bCs/>
      <w:sz w:val="20"/>
      <w:szCs w:val="20"/>
    </w:rPr>
  </w:style>
  <w:style w:type="paragraph" w:customStyle="1" w:styleId="25">
    <w:name w:val="Revision"/>
    <w:hidden/>
    <w:semiHidden/>
    <w:uiPriority w:val="99"/>
    <w:rPr>
      <w:rFonts w:asciiTheme="minorHAnsi" w:hAnsiTheme="minorHAnsi" w:eastAsiaTheme="minorEastAsia" w:cstheme="minorBidi"/>
      <w:kern w:val="2"/>
      <w:sz w:val="24"/>
      <w:szCs w:val="24"/>
      <w:lang w:val="en-CA" w:eastAsia="zh-CN" w:bidi="ar-SA"/>
      <w14:ligatures w14:val="standardContextual"/>
    </w:rPr>
  </w:style>
  <w:style w:type="character" w:customStyle="1" w:styleId="26">
    <w:name w:val="Heading 2 Char"/>
    <w:basedOn w:val="4"/>
    <w:link w:val="3"/>
    <w:uiPriority w:val="0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306</TotalTime>
  <ScaleCrop>false</ScaleCrop>
  <LinksUpToDate>false</LinksUpToDate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WangZhiying</dc:creator>
  <cp:lastModifiedBy>Xingjian</cp:lastModifiedBy>
  <dcterms:modified xsi:type="dcterms:W3CDTF">2026-04-28T15:30:28Z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1033-6.11.0.8885</vt:lpwstr>
  </property>
  <property fmtid="{D5CDD505-2E9C-101B-9397-08002B2CF9AE}" pid="3" name="ICV">
    <vt:lpwstr>C7532F372E170651E418F169B7CF6AF8_43</vt:lpwstr>
  </property>
</Properties>
</file>