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6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993"/>
        <w:gridCol w:w="3827"/>
        <w:gridCol w:w="5103"/>
        <w:gridCol w:w="5529"/>
      </w:tblGrid>
      <w:tr w:rsidR="004C2C3F" w:rsidRPr="00D955F6" w:rsidTr="001D0B7C">
        <w:trPr>
          <w:trHeight w:val="269"/>
        </w:trPr>
        <w:tc>
          <w:tcPr>
            <w:tcW w:w="15736" w:type="dxa"/>
            <w:gridSpan w:val="5"/>
            <w:shd w:val="clear" w:color="auto" w:fill="auto"/>
            <w:vAlign w:val="center"/>
          </w:tcPr>
          <w:p w:rsidR="004C2C3F" w:rsidRPr="003A7AC8" w:rsidRDefault="00473798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Değişik:RG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-21/8/2020-31220)</w:t>
            </w:r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4C2C3F" w:rsidRPr="003A7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EK-1</w:t>
            </w:r>
          </w:p>
        </w:tc>
      </w:tr>
      <w:tr w:rsidR="004C2C3F" w:rsidRPr="00D955F6" w:rsidTr="001D0B7C">
        <w:trPr>
          <w:trHeight w:val="540"/>
        </w:trPr>
        <w:tc>
          <w:tcPr>
            <w:tcW w:w="15736" w:type="dxa"/>
            <w:gridSpan w:val="5"/>
            <w:shd w:val="clear" w:color="auto" w:fill="auto"/>
            <w:vAlign w:val="center"/>
            <w:hideMark/>
          </w:tcPr>
          <w:p w:rsidR="004C2C3F" w:rsidRPr="003A7AC8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A7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ERİŞKİN</w:t>
            </w:r>
            <w:r w:rsidR="006A2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</w:t>
            </w:r>
            <w:r w:rsidRPr="003A7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****</w:t>
            </w:r>
            <w:r w:rsidR="006A2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) </w:t>
            </w:r>
            <w:r w:rsidRPr="003A7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YOĞUN BAKIM SERVİSLERİNİN ASGARİ DONANIM, PERSONEL VE HİZMET STANDARTLARI</w:t>
            </w:r>
          </w:p>
        </w:tc>
      </w:tr>
      <w:tr w:rsidR="004C2C3F" w:rsidRPr="00D955F6" w:rsidTr="001D0B7C">
        <w:trPr>
          <w:trHeight w:val="255"/>
        </w:trPr>
        <w:tc>
          <w:tcPr>
            <w:tcW w:w="1277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4C2C3F" w:rsidRPr="00D955F6" w:rsidRDefault="004C2C3F" w:rsidP="00F823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D955F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827" w:type="dxa"/>
            <w:vMerge w:val="restart"/>
            <w:shd w:val="clear" w:color="auto" w:fill="auto"/>
            <w:noWrap/>
            <w:vAlign w:val="center"/>
            <w:hideMark/>
          </w:tcPr>
          <w:p w:rsidR="004C2C3F" w:rsidRPr="00BF06C6" w:rsidRDefault="004C2C3F" w:rsidP="00BF06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BF0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Seviye</w:t>
            </w:r>
          </w:p>
        </w:tc>
        <w:tc>
          <w:tcPr>
            <w:tcW w:w="5103" w:type="dxa"/>
            <w:vMerge w:val="restart"/>
            <w:shd w:val="clear" w:color="auto" w:fill="auto"/>
            <w:noWrap/>
            <w:vAlign w:val="center"/>
            <w:hideMark/>
          </w:tcPr>
          <w:p w:rsidR="004C2C3F" w:rsidRPr="00BF06C6" w:rsidRDefault="004C2C3F" w:rsidP="00BF06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BF0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Seviye </w:t>
            </w:r>
          </w:p>
        </w:tc>
        <w:tc>
          <w:tcPr>
            <w:tcW w:w="5529" w:type="dxa"/>
            <w:vMerge w:val="restart"/>
            <w:shd w:val="clear" w:color="auto" w:fill="auto"/>
            <w:noWrap/>
            <w:vAlign w:val="center"/>
            <w:hideMark/>
          </w:tcPr>
          <w:p w:rsidR="004C2C3F" w:rsidRPr="00BF06C6" w:rsidRDefault="004C2C3F" w:rsidP="00BF06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BF0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Seviye</w:t>
            </w:r>
          </w:p>
        </w:tc>
      </w:tr>
      <w:tr w:rsidR="004C2C3F" w:rsidRPr="00D955F6" w:rsidTr="001D0B7C">
        <w:trPr>
          <w:trHeight w:val="244"/>
        </w:trPr>
        <w:tc>
          <w:tcPr>
            <w:tcW w:w="1277" w:type="dxa"/>
            <w:gridSpan w:val="2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510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5529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4C2C3F" w:rsidRPr="00D955F6" w:rsidTr="006A20D3">
        <w:trPr>
          <w:trHeight w:val="2029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1D0B7C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D0B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Tanım</w:t>
            </w:r>
          </w:p>
        </w:tc>
        <w:tc>
          <w:tcPr>
            <w:tcW w:w="3827" w:type="dxa"/>
            <w:shd w:val="clear" w:color="auto" w:fill="auto"/>
            <w:hideMark/>
          </w:tcPr>
          <w:p w:rsidR="004C2C3F" w:rsidRPr="00D955F6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Yaşamsal risk doğurabilecek tıbbi durumların yakın takip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edildiği,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olmayan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rizasyon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yöntemlerine sahip, temel destek tedavilerin ve ilk </w:t>
            </w:r>
            <w:proofErr w:type="gram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stabilizasyonun</w:t>
            </w:r>
            <w:proofErr w:type="gram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sağlanabildiği, gerektiğinde ilgili kliniklerin i</w:t>
            </w:r>
            <w:r w:rsidR="00BF06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çinde de yapılandırılabilen, 2. veya 3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 seviye yoğun bakım servislerine hasta transferi yapabilen birimlerdir.</w:t>
            </w:r>
          </w:p>
        </w:tc>
        <w:tc>
          <w:tcPr>
            <w:tcW w:w="5103" w:type="dxa"/>
            <w:shd w:val="clear" w:color="auto" w:fill="auto"/>
            <w:hideMark/>
          </w:tcPr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Temel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rizasyon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temel destek tedavilerin yanında, </w:t>
            </w:r>
            <w:proofErr w:type="spell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 w:rsidR="00BF06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BF06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monitorizasyon</w:t>
            </w:r>
            <w:proofErr w:type="spellEnd"/>
            <w:r w:rsidR="00BF06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tedavilerin de yapılabildiği, 3.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Seviye yoğun bakım servislerine hasta transferi yapabilen yoğun bakım servisleridir. </w:t>
            </w: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Pr="00D955F6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529" w:type="dxa"/>
            <w:shd w:val="clear" w:color="auto" w:fill="auto"/>
            <w:hideMark/>
          </w:tcPr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Çoklu organ işlev 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zukluğu gibi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tüm </w:t>
            </w:r>
            <w:proofErr w:type="gram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komplike</w:t>
            </w:r>
            <w:proofErr w:type="gram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hastaların kabul edildiği, solunum desteği, </w:t>
            </w:r>
            <w:proofErr w:type="spell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renal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replasman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tedavisi, </w:t>
            </w:r>
            <w:proofErr w:type="spell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plazmaferez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gibi destek tedavilerin sağlanabildiği, en üst düzeyde tıbbi bakım ve tedavi hizmeti verilen yoğun bakım servisleridir.</w:t>
            </w: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Pr="00D955F6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C2C3F" w:rsidRPr="00D955F6" w:rsidTr="001D0B7C">
        <w:trPr>
          <w:trHeight w:val="4215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1D0B7C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D0B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Hasta Özellikleri</w:t>
            </w:r>
          </w:p>
        </w:tc>
        <w:tc>
          <w:tcPr>
            <w:tcW w:w="3827" w:type="dxa"/>
            <w:shd w:val="clear" w:color="auto" w:fill="auto"/>
            <w:hideMark/>
          </w:tcPr>
          <w:p w:rsidR="004C2C3F" w:rsidRDefault="00BF06C6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Solunum yetmezliği dışındaki </w:t>
            </w:r>
            <w:proofErr w:type="gram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komplike</w:t>
            </w:r>
            <w:proofErr w:type="gram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olmayan, akut gelişen, tek organ yetmezlikleri, (diyaliz gerektirmeyen akut böbrek yetmezliği, stabil kronik böbrek yetmezliği, kalp yetmezliği,  hafif seyreden karaciğer yetmezliği, transf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üzyon gerektirmeyen kanamalar v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b.)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2-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Takip ve tedavileri için rutin yöntemlerin yeterli olmadığı, yaşamsal fonksiyonların aniden bozulma olasılığı bulunan ve sürekli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özlemi gereken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3-2.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veya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eviye yoğun bakım servislerinden çıkarılan henüz taburcu edil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emeyecek durumdaki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4-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Komplike olmayan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miyokard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iskemili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ve arit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mileri mevcut olan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5-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Cerrahi sonrası ya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kın takibi gereken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6-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Komplike olmayan psikiyatrik, nörolojik acil vakalar.</w:t>
            </w:r>
          </w:p>
          <w:p w:rsidR="004C2C3F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  <w:p w:rsidR="004C2C3F" w:rsidRPr="00D955F6" w:rsidRDefault="004C2C3F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5103" w:type="dxa"/>
            <w:shd w:val="clear" w:color="auto" w:fill="auto"/>
            <w:hideMark/>
          </w:tcPr>
          <w:p w:rsidR="004C2C3F" w:rsidRPr="00D955F6" w:rsidRDefault="00BF06C6" w:rsidP="004C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1.S</w:t>
            </w:r>
            <w:r w:rsidR="004C2C3F"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eviye yoğun bakım hasta özelliklerine ilave olara</w:t>
            </w:r>
            <w:r w:rsidR="004C2C3F" w:rsidRPr="00CF22E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k;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Kısa süreli, detaylı ve nitelikli gözlem, girişim (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invaziv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monitörizasyon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) ve yaşamsal destek gerek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sinimi bulunan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2-3.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Seviye yoğun bakım servislerinden çıkarılan ancak henüz taburcu edileme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yecek durumda olan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3-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Tek organ yetmezliğinin acil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tedavisi gereken tıbbi durumları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(diyaliz,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hemofiltrasyon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pla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zmaferez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mekanik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ventilasyon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b.)</w:t>
            </w:r>
            <w:r w:rsidR="004C2C3F" w:rsidRPr="00D955F6">
              <w:rPr>
                <w:rFonts w:ascii="Times New Roman" w:eastAsia="Times New Roman" w:hAnsi="Times New Roman" w:cs="Times New Roman"/>
                <w:color w:val="DD0806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mevcut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4-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Cerrahi öncesi yoğun hazırlık ve destek ih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tiyacı olan riskli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5-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Düzeltilemeyen fizyolojik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veya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metabolik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bozukluklar,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6-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Hayatı tehdit eden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zehirlenmeler ve kanamalar,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7-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Ağır </w:t>
            </w:r>
            <w:proofErr w:type="gram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enf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eksiyonlar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, (peritonit vb.)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8-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Solunum desteği gereken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nöromüsküler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hastalıklar,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non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invaziv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mekanik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entilasyon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gereken hastalar,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9-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Gebeliğin hayatı tehdit eden komplikas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yonları,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preeklampsi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vb.)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10-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Hemotoraks,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mpiyem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 ağır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malnütrisyon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11-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Santral sinir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sistemi patolojisi ve cerrahisi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(minimal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epidural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subdural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hematom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posterior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fossa patolojileri,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kraniyal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ırıklar,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spinal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lomber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drenaj v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b.)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5529" w:type="dxa"/>
            <w:shd w:val="clear" w:color="auto" w:fill="auto"/>
            <w:hideMark/>
          </w:tcPr>
          <w:p w:rsidR="004C2C3F" w:rsidRPr="00D955F6" w:rsidRDefault="00BF06C6" w:rsidP="00BF0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1.</w:t>
            </w:r>
            <w:r w:rsidR="004C2C3F"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 xml:space="preserve">ve </w:t>
            </w:r>
            <w:r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2. S</w:t>
            </w:r>
            <w:r w:rsidR="004C2C3F" w:rsidRPr="00CF22E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 xml:space="preserve">eviye yoğun bakım hasta özelliklerine ilave olarak;  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Uzun süreli nitelikli gözlem ve girişim, uzun süreli yaşamsal destek gereksinimi bulunan veya çoklu organ yetmezliği gelişmiş hastalar,</w:t>
            </w:r>
            <w:r w:rsidR="004C2C3F" w:rsidRPr="00D955F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2-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Kronik organ bozukluğunun günlük aktiviteyi bozacak şekilde ilerlediği hastalar, 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3-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HELLP sendromu, ağır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sepsis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septik şok, ARDS, ağır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preeklampsi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ve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eklampsi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gibi yakın takip ve tedavi gerektiren akut sorunlar,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4-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Kontrol edilemeyen veya masif transfüzyon gereken kanamalar,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5-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Organ bozukluğu yapan zehirlenmeler,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6-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Cerrahi sonrası gelişen</w:t>
            </w:r>
            <w:r w:rsidR="004C2C3F" w:rsidRPr="00731510">
              <w:rPr>
                <w:rFonts w:ascii="Times New Roman" w:eastAsia="Times New Roman" w:hAnsi="Times New Roman" w:cs="Times New Roman"/>
                <w:color w:val="DD0806"/>
                <w:sz w:val="18"/>
                <w:szCs w:val="18"/>
                <w:lang w:eastAsia="tr-TR"/>
              </w:rPr>
              <w:t xml:space="preserve"> 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birden fazla dahili kompli</w:t>
            </w:r>
            <w:r w:rsidR="00CF22E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kasyonlar, (koroner sendromlar,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sepsis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, b</w:t>
            </w:r>
            <w:r w:rsidR="00CF22E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öbrek veya karaciğer yetmezliği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v</w:t>
            </w:r>
            <w:r w:rsidR="00CF22E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b.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)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7-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Birden fazla organı ilgilendiren sistemik hastalıkların akut sorunları,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8-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Yoğun ba</w:t>
            </w:r>
            <w:r w:rsidR="00CF22E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kımda izolasyonu gereken hastalar, (dirençli 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enfeksiyonlar,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immünsuprese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hastalar)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9-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Ciddi santral sinir sistemi patolojisi ve cerrahisi, (sinüs üzerinde kanama, çökme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fraktürü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, ciddi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serebral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ödem,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subaraknoid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kanama,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diffüz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aksonal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yaralanma,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spinal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şok, </w:t>
            </w:r>
            <w:proofErr w:type="spellStart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kord</w:t>
            </w:r>
            <w:proofErr w:type="spellEnd"/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ödemi gibi)                                                                                             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10-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Glaskow skoru 8 ve altında olan hastalar,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11-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Kalp cerrahisi sonrası hastalar,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="00CF22E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tr-TR"/>
              </w:rPr>
              <w:t>12-</w:t>
            </w:r>
            <w:r w:rsidR="004C2C3F" w:rsidRPr="00731510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Çoklu</w:t>
            </w:r>
            <w:r w:rsidR="004C2C3F" w:rsidRPr="00B67345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="004C2C3F" w:rsidRPr="00B67345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travma</w:t>
            </w:r>
            <w:proofErr w:type="gramEnd"/>
            <w:r w:rsidR="004C2C3F" w:rsidRPr="00B67345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hastaları.</w:t>
            </w:r>
          </w:p>
        </w:tc>
      </w:tr>
      <w:tr w:rsidR="004C2C3F" w:rsidRPr="00D955F6" w:rsidTr="001D0B7C">
        <w:trPr>
          <w:trHeight w:val="694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D955F6" w:rsidRDefault="004C2C3F" w:rsidP="00731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Yatak Sayısı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En az 4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yatak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En az 4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yatak</w:t>
            </w:r>
          </w:p>
        </w:tc>
        <w:tc>
          <w:tcPr>
            <w:tcW w:w="5529" w:type="dxa"/>
            <w:shd w:val="clear" w:color="auto" w:fill="auto"/>
            <w:noWrap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En az 4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yatak</w:t>
            </w:r>
          </w:p>
        </w:tc>
      </w:tr>
      <w:tr w:rsidR="004C2C3F" w:rsidRPr="00D955F6" w:rsidTr="001D0B7C">
        <w:trPr>
          <w:trHeight w:val="1237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731510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tr-TR"/>
              </w:rPr>
            </w:pPr>
            <w:r w:rsidRPr="007315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 xml:space="preserve">Temas </w:t>
            </w:r>
            <w:r w:rsidRPr="00731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İzolasyon </w:t>
            </w:r>
          </w:p>
          <w:p w:rsidR="004C2C3F" w:rsidRPr="00D955F6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73151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tr-TR"/>
              </w:rPr>
              <w:t>Odası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5103" w:type="dxa"/>
            <w:shd w:val="clear" w:color="000000" w:fill="FFFFFF"/>
            <w:noWrap/>
            <w:vAlign w:val="center"/>
            <w:hideMark/>
          </w:tcPr>
          <w:p w:rsidR="004C2C3F" w:rsidRPr="00D955F6" w:rsidRDefault="00CF22E6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5529" w:type="dxa"/>
            <w:shd w:val="clear" w:color="000000" w:fill="FFFFFF"/>
            <w:vAlign w:val="center"/>
            <w:hideMark/>
          </w:tcPr>
          <w:p w:rsidR="004C2C3F" w:rsidRPr="00F32854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</w:pPr>
            <w:r w:rsidRPr="00F3285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İlk 12 yatağa kadar bir adet, 12 yatak ve üzerinde her altı yatağa kadar ilave bir adet</w:t>
            </w:r>
          </w:p>
          <w:p w:rsidR="004C2C3F" w:rsidRPr="001D0B7C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F32854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(Aynı hastalık grubunda kullanılmak kaydıyla 2 yataklı düzenlenebilir.)</w:t>
            </w:r>
            <w:r w:rsidRPr="00F3285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          </w:t>
            </w:r>
          </w:p>
        </w:tc>
      </w:tr>
      <w:tr w:rsidR="004C2C3F" w:rsidRPr="00D955F6" w:rsidTr="0030619B">
        <w:trPr>
          <w:trHeight w:val="1479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731510" w:rsidRDefault="004C2C3F" w:rsidP="00731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 xml:space="preserve">Solunum İzolasyon </w:t>
            </w:r>
            <w:r w:rsidRPr="00731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Odas</w:t>
            </w:r>
            <w:r w:rsidRPr="007315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ı</w:t>
            </w:r>
            <w:r w:rsidR="006A20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 xml:space="preserve"> (</w:t>
            </w:r>
            <w:r w:rsidRPr="007315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***</w:t>
            </w:r>
            <w:r w:rsidR="006A20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4C2C3F" w:rsidRPr="00731510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5103" w:type="dxa"/>
            <w:shd w:val="clear" w:color="000000" w:fill="FFFFFF"/>
            <w:noWrap/>
            <w:vAlign w:val="center"/>
            <w:hideMark/>
          </w:tcPr>
          <w:p w:rsidR="004C2C3F" w:rsidRPr="00731510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73151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5529" w:type="dxa"/>
            <w:shd w:val="clear" w:color="000000" w:fill="FFFFFF"/>
            <w:vAlign w:val="center"/>
            <w:hideMark/>
          </w:tcPr>
          <w:p w:rsidR="004C2C3F" w:rsidRPr="00B310E1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</w:pPr>
            <w:r w:rsidRPr="00B310E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Dörtten fazla temas </w:t>
            </w:r>
            <w:proofErr w:type="gramStart"/>
            <w:r w:rsidRPr="00B310E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izolasyon</w:t>
            </w:r>
            <w:proofErr w:type="gramEnd"/>
            <w:r w:rsidRPr="00B310E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odası için en az 1 adet</w:t>
            </w:r>
            <w:r w:rsidR="006A20D3" w:rsidRPr="00B310E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(</w:t>
            </w:r>
            <w:r w:rsidRPr="00B310E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***</w:t>
            </w:r>
            <w:r w:rsidR="006A20D3" w:rsidRPr="00B310E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4C2C3F" w:rsidRPr="00D955F6" w:rsidTr="001D0B7C">
        <w:trPr>
          <w:trHeight w:val="2252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Default="004C2C3F" w:rsidP="004C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Verilmesi Gereken Sağlık Hizmeti</w:t>
            </w:r>
          </w:p>
          <w:p w:rsidR="004C2C3F" w:rsidRPr="00D955F6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3827" w:type="dxa"/>
            <w:shd w:val="clear" w:color="auto" w:fill="auto"/>
            <w:hideMark/>
          </w:tcPr>
          <w:p w:rsidR="004C2C3F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1-Orotrakeal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entübasyon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2-Torasentez,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3-Solunumsal ilaç uygulaması,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4-Defibrilasyon,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5-Kan gazı yorumlaması,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6-EKG yorumlaması,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7-Kardiyopulmoner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resusitasyon</w:t>
            </w:r>
            <w:proofErr w:type="spellEnd"/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</w:t>
            </w:r>
          </w:p>
          <w:p w:rsidR="004C2C3F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  <w:p w:rsidR="004C2C3F" w:rsidRPr="00D955F6" w:rsidRDefault="004C2C3F" w:rsidP="001D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shd w:val="clear" w:color="auto" w:fill="auto"/>
            <w:hideMark/>
          </w:tcPr>
          <w:p w:rsidR="004C2C3F" w:rsidRPr="00D955F6" w:rsidRDefault="00CF22E6" w:rsidP="00CF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1. Seviyeye ilave olarak;</w:t>
            </w: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İnternal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juguler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kateterizasyonu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ve/veya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subklavyen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kateterizasyonu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ve/veya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femoral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Hemodiyaliz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yerleştirilmesi işlemi,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3-Arteriyel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4-Lomber ponksiyon,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Beslenme tüpü tak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ılması,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</w:t>
            </w:r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İnvaziv veya </w:t>
            </w:r>
            <w:proofErr w:type="spellStart"/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non</w:t>
            </w:r>
            <w:proofErr w:type="spellEnd"/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mekanik </w:t>
            </w:r>
            <w:proofErr w:type="spellStart"/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ventilasyon</w:t>
            </w:r>
            <w:proofErr w:type="spellEnd"/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</w:t>
            </w:r>
            <w:r w:rsidR="004C2C3F" w:rsidRPr="00D955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 xml:space="preserve">Geçici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Pacemaker</w:t>
            </w:r>
            <w:proofErr w:type="spellEnd"/>
            <w:r w:rsidR="00CD5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.</w:t>
            </w:r>
          </w:p>
        </w:tc>
        <w:tc>
          <w:tcPr>
            <w:tcW w:w="5529" w:type="dxa"/>
            <w:shd w:val="clear" w:color="auto" w:fill="auto"/>
            <w:hideMark/>
          </w:tcPr>
          <w:p w:rsidR="004C2C3F" w:rsidRPr="00CD5D23" w:rsidRDefault="00CF22E6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2. S</w:t>
            </w:r>
            <w:r w:rsidR="004C2C3F"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 xml:space="preserve">eviyeye ilave olarak; 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İleri hava yolu uygulamalarının yapılması,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2-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Perkü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 xml:space="preserve">tan veya </w:t>
            </w:r>
            <w:r w:rsidR="004C2C3F" w:rsidRPr="004C2C3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>cerrahi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4C2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trakeotomi</w:t>
            </w:r>
            <w:proofErr w:type="spellEnd"/>
            <w:r w:rsidR="004C2C3F" w:rsidRPr="004C2C3F">
              <w:rPr>
                <w:rFonts w:ascii="Times New Roman" w:eastAsia="Times New Roman" w:hAnsi="Times New Roman" w:cs="Times New Roman"/>
                <w:color w:val="33CCCC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color w:val="33CCCC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gastrostomi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4C2C3F" w:rsidRP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enterostomi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vb.</w:t>
            </w:r>
            <w:r w:rsidR="004C2C3F" w:rsidRP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Servis içinde sürekli veya aralıklı hemodiyaliz veya </w:t>
            </w:r>
            <w:proofErr w:type="spellStart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hemofiltrasyon</w:t>
            </w:r>
            <w:proofErr w:type="spellEnd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yapılması,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4-</w:t>
            </w:r>
            <w:r w:rsidR="004C2C3F" w:rsidRP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Gastrointestinal </w:t>
            </w:r>
            <w:r w:rsidR="004C2C3F" w:rsidRPr="00CD5D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tüp</w:t>
            </w:r>
            <w:r w:rsidR="00CD5D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.</w:t>
            </w:r>
          </w:p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C2C3F" w:rsidRPr="00D955F6" w:rsidTr="001D0B7C">
        <w:trPr>
          <w:trHeight w:val="2693"/>
        </w:trPr>
        <w:tc>
          <w:tcPr>
            <w:tcW w:w="1277" w:type="dxa"/>
            <w:gridSpan w:val="2"/>
            <w:shd w:val="clear" w:color="auto" w:fill="auto"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Tıbbi Cihaz ve Donanım</w:t>
            </w:r>
          </w:p>
        </w:tc>
        <w:tc>
          <w:tcPr>
            <w:tcW w:w="3827" w:type="dxa"/>
            <w:shd w:val="clear" w:color="auto" w:fill="auto"/>
            <w:hideMark/>
          </w:tcPr>
          <w:p w:rsidR="004C2C3F" w:rsidRPr="00D955F6" w:rsidRDefault="00CF22E6" w:rsidP="00CD5D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yatak için bir monitör 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monitörizasyon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gerekmez)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İki adet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laringoskop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Transport özelliği olan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Hastanede k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olay ulaşıl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abilir </w:t>
            </w:r>
            <w:proofErr w:type="spellStart"/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defibrilatör</w:t>
            </w:r>
            <w:proofErr w:type="spellEnd"/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</w:t>
            </w:r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susitasyon için gerekli donanım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</w:t>
            </w:r>
          </w:p>
        </w:tc>
        <w:tc>
          <w:tcPr>
            <w:tcW w:w="5103" w:type="dxa"/>
            <w:shd w:val="clear" w:color="auto" w:fill="auto"/>
            <w:hideMark/>
          </w:tcPr>
          <w:p w:rsidR="004C2C3F" w:rsidRPr="004C2C3F" w:rsidRDefault="00CF22E6" w:rsidP="00CF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1. Seviyeye ilave olarak;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yatak için tek kanallı basınç </w:t>
            </w:r>
            <w:proofErr w:type="spellStart"/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monitörizasyonu</w:t>
            </w:r>
            <w:proofErr w:type="spellEnd"/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pabilen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bir monitör,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2 yatak için bir </w:t>
            </w:r>
            <w:proofErr w:type="spellStart"/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 (servis kapasitesi 6 yataktan büyük ise 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r 3 yatak için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</w:t>
            </w:r>
            <w:proofErr w:type="spellStart"/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ortable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röntgen cihazı,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4-İnfüzyon pompası,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Kan gazı cihazı (ser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vise yakın olabilir),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</w:t>
            </w:r>
            <w:r w:rsid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Servis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içerisinde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defibrilatör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Kesintisiz güç kaynağı,</w:t>
            </w:r>
            <w:r w:rsidR="004C2C3F" w:rsidRPr="004C2C3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8-</w:t>
            </w:r>
            <w:r w:rsid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Hastanede </w:t>
            </w:r>
            <w:r w:rsidR="004C2C3F" w:rsidRP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EKO yapabilen </w:t>
            </w:r>
            <w:proofErr w:type="spellStart"/>
            <w:r w:rsidR="004C2C3F" w:rsidRP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portabl</w:t>
            </w:r>
            <w:proofErr w:type="spellEnd"/>
            <w:r w:rsid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USG cihazı</w:t>
            </w:r>
            <w:r w:rsidR="00CD5D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.</w:t>
            </w:r>
            <w:r w:rsidR="004C2C3F" w:rsidRPr="004C2C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  <w:hideMark/>
          </w:tcPr>
          <w:p w:rsidR="004C2C3F" w:rsidRPr="00F131E2" w:rsidRDefault="00CF22E6" w:rsidP="00CF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 xml:space="preserve">2. Seviyeye ilave olarak;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yatak için </w:t>
            </w:r>
            <w:proofErr w:type="spellStart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hemodinamik</w:t>
            </w:r>
            <w:proofErr w:type="spellEnd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yapabilecek bir monitör,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Her 4 yatak için</w:t>
            </w:r>
            <w:r w:rsidR="004C2C3F" w:rsidRPr="00F131E2">
              <w:rPr>
                <w:rFonts w:ascii="Times New Roman" w:eastAsia="Times New Roman" w:hAnsi="Times New Roman" w:cs="Times New Roman"/>
                <w:color w:val="DD0806"/>
                <w:sz w:val="20"/>
                <w:szCs w:val="20"/>
                <w:lang w:eastAsia="tr-TR"/>
              </w:rPr>
              <w:t xml:space="preserve"> 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üç </w:t>
            </w:r>
            <w:proofErr w:type="spellStart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3-Kan, serum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hasta ısıtma sistemleri,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4-Beslenme pompası,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Hastanede; s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ürekli </w:t>
            </w:r>
            <w:proofErr w:type="spellStart"/>
            <w:r w:rsidR="00D1359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venö-venöz</w:t>
            </w:r>
            <w:proofErr w:type="spellEnd"/>
            <w:r w:rsidR="00D1359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D1359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arterio</w:t>
            </w:r>
            <w:r w:rsidR="004C2C3F" w:rsidRP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-venöz</w:t>
            </w:r>
            <w:proofErr w:type="spellEnd"/>
            <w:r w:rsidR="004C2C3F" w:rsidRP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4C2C3F" w:rsidRP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hemofiltrasyon</w:t>
            </w:r>
            <w:proofErr w:type="spellEnd"/>
            <w:r w:rsidR="004C2C3F" w:rsidRP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cihazı</w:t>
            </w:r>
            <w:r w:rsidR="00CD5D2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</w:t>
            </w:r>
            <w:r w:rsidR="004C2C3F" w:rsidRPr="00F131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</w:t>
            </w:r>
          </w:p>
        </w:tc>
      </w:tr>
      <w:tr w:rsidR="004C2C3F" w:rsidRPr="00D955F6" w:rsidTr="001D0B7C">
        <w:trPr>
          <w:trHeight w:val="2851"/>
        </w:trPr>
        <w:tc>
          <w:tcPr>
            <w:tcW w:w="284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4C2C3F" w:rsidRPr="00CD5D23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CD5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Personel Durumu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C2C3F" w:rsidRPr="00CD5D23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CD5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Uzman Tabip</w:t>
            </w:r>
          </w:p>
        </w:tc>
        <w:tc>
          <w:tcPr>
            <w:tcW w:w="3827" w:type="dxa"/>
            <w:shd w:val="clear" w:color="auto" w:fill="auto"/>
            <w:hideMark/>
          </w:tcPr>
          <w:p w:rsidR="004C2C3F" w:rsidRPr="00D955F6" w:rsidRDefault="001D0B7C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Anesteziyoloji ve </w:t>
            </w:r>
            <w:proofErr w:type="spell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reanimasyon</w:t>
            </w:r>
            <w:proofErr w:type="spell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uzmanı,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2-İç hastalıkları uzmanı,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Genel cerrahi uzmanı.                          </w:t>
            </w:r>
          </w:p>
        </w:tc>
        <w:tc>
          <w:tcPr>
            <w:tcW w:w="5103" w:type="dxa"/>
            <w:shd w:val="clear" w:color="auto" w:fill="auto"/>
            <w:hideMark/>
          </w:tcPr>
          <w:p w:rsidR="004C2C3F" w:rsidRPr="00D955F6" w:rsidRDefault="001D0B7C" w:rsidP="001D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CF22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1. Seviyeye ilave olarak;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Beyin ve sinir cerrahisi uzmanı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),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2-Nöroloji uzmanı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Kardiyoloji uzmanı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Göğüs hastalıkları uzmanı (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),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Mikrobiyoloji uzmanı veya </w:t>
            </w:r>
            <w:proofErr w:type="gramStart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enfeksiyon</w:t>
            </w:r>
            <w:proofErr w:type="gramEnd"/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hastalıkları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klinik mikrobiyoloji uzmanı (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).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</w:t>
            </w:r>
          </w:p>
        </w:tc>
        <w:tc>
          <w:tcPr>
            <w:tcW w:w="5529" w:type="dxa"/>
            <w:shd w:val="clear" w:color="auto" w:fill="auto"/>
            <w:hideMark/>
          </w:tcPr>
          <w:p w:rsidR="004C2C3F" w:rsidRPr="00507BDC" w:rsidRDefault="001D0B7C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507BD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 xml:space="preserve">2. Seviyeye ilave olarak;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             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Beyin ve sinir cerrahisi uzmanı,                                                 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2-Nöroloji uzmanı,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Kardiyoloji uzmanı,                                                                                     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Göğüs hastalıkları uzmanı,                            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Mikrobiyoloji uzmanı veya </w:t>
            </w:r>
            <w:proofErr w:type="gramStart"/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enfeksiyon</w:t>
            </w:r>
            <w:proofErr w:type="gramEnd"/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hasta</w:t>
            </w:r>
            <w:r w:rsidR="00CD5D23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lıkları ve klinik mikrobiyoloji,</w:t>
            </w:r>
          </w:p>
          <w:p w:rsidR="004C2C3F" w:rsidRPr="00507BDC" w:rsidRDefault="001D0B7C" w:rsidP="00EB7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6-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İhtiyaç duyulacak branşlarda kolayca ulaşılabilecek uzman hekimler</w:t>
            </w:r>
            <w:r w:rsidR="006A20D3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6A20D3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; (Radyoloji uzmanı, ortopedi ve </w:t>
            </w:r>
            <w:proofErr w:type="gramStart"/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travmatoloji</w:t>
            </w:r>
            <w:proofErr w:type="gramEnd"/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uzmanı, fiziksel tıp ve rehabilitasyon uzmanı, kulak burun ve boğaz hastalıkları uzmanı, göz hastalıkları uzmanı, der</w:t>
            </w:r>
            <w:r w:rsidR="00DF361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 ve zührevi hastalıklar uzmanı</w:t>
            </w:r>
            <w:r w:rsidR="00F868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 w:rsidR="00EB7C87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hematoloji uzmanı, </w:t>
            </w:r>
            <w:proofErr w:type="spellStart"/>
            <w:r w:rsidR="00EB7C87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nefroloji</w:t>
            </w:r>
            <w:proofErr w:type="spellEnd"/>
            <w:r w:rsidR="00EB7C87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uzmanı,</w:t>
            </w:r>
            <w:r w:rsidR="00F868C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göğüs cerrahisi uzmanı</w:t>
            </w:r>
            <w:r w:rsidR="00EB7C87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 w:rsidR="004C2C3F"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).                                                </w:t>
            </w:r>
          </w:p>
        </w:tc>
      </w:tr>
      <w:tr w:rsidR="004C2C3F" w:rsidRPr="00D955F6" w:rsidTr="001D0B7C">
        <w:trPr>
          <w:trHeight w:val="1514"/>
        </w:trPr>
        <w:tc>
          <w:tcPr>
            <w:tcW w:w="284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1D0B7C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CD5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Hemşire </w:t>
            </w:r>
          </w:p>
          <w:p w:rsidR="004C2C3F" w:rsidRPr="00CD5D23" w:rsidRDefault="006A20D3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(</w:t>
            </w:r>
            <w:r w:rsidR="004C2C3F" w:rsidRPr="00CD5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**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Günün her saatinde, serviste 5 yatağa kadar bir hemşire/sağlık memuru ( İlave her 5 yatak için 1 hemşire/sağlık memuru ayrıca ilave edilir.)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Günün her saatinde,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serviste her 3 yatak için en az bir hemşire/sağlık memuru</w:t>
            </w:r>
          </w:p>
        </w:tc>
        <w:tc>
          <w:tcPr>
            <w:tcW w:w="5529" w:type="dxa"/>
            <w:shd w:val="clear" w:color="auto" w:fill="auto"/>
            <w:vAlign w:val="center"/>
            <w:hideMark/>
          </w:tcPr>
          <w:p w:rsidR="004C2C3F" w:rsidRPr="00507BDC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507BD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Günün her saatinde, serviste her 2 yatak için en az bir hemşire/sağlık memuru</w:t>
            </w:r>
          </w:p>
        </w:tc>
      </w:tr>
      <w:tr w:rsidR="004C2C3F" w:rsidRPr="00D955F6" w:rsidTr="001D0B7C">
        <w:trPr>
          <w:trHeight w:val="633"/>
        </w:trPr>
        <w:tc>
          <w:tcPr>
            <w:tcW w:w="284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C2C3F" w:rsidRPr="00CD5D23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CD5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Diğer 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5529" w:type="dxa"/>
            <w:vMerge w:val="restart"/>
            <w:shd w:val="clear" w:color="auto" w:fill="auto"/>
            <w:vAlign w:val="center"/>
            <w:hideMark/>
          </w:tcPr>
          <w:p w:rsidR="004C2C3F" w:rsidRPr="00D955F6" w:rsidRDefault="004C2C3F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</w:t>
            </w:r>
            <w:proofErr w:type="gram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fizyoterapist</w:t>
            </w:r>
            <w:proofErr w:type="gram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diyetisyen bulunması yeterlidir.</w:t>
            </w:r>
          </w:p>
        </w:tc>
      </w:tr>
      <w:tr w:rsidR="004C2C3F" w:rsidRPr="00D955F6" w:rsidTr="001D0B7C">
        <w:trPr>
          <w:trHeight w:val="255"/>
        </w:trPr>
        <w:tc>
          <w:tcPr>
            <w:tcW w:w="284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529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C2C3F" w:rsidRPr="00D955F6" w:rsidTr="001D0B7C">
        <w:trPr>
          <w:trHeight w:val="255"/>
        </w:trPr>
        <w:tc>
          <w:tcPr>
            <w:tcW w:w="284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529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C2C3F" w:rsidRPr="00D955F6" w:rsidTr="001D0B7C">
        <w:trPr>
          <w:trHeight w:val="230"/>
        </w:trPr>
        <w:tc>
          <w:tcPr>
            <w:tcW w:w="284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529" w:type="dxa"/>
            <w:vMerge/>
            <w:vAlign w:val="center"/>
            <w:hideMark/>
          </w:tcPr>
          <w:p w:rsidR="004C2C3F" w:rsidRPr="00D955F6" w:rsidRDefault="004C2C3F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C2C3F" w:rsidRPr="00D955F6" w:rsidTr="001D0B7C">
        <w:trPr>
          <w:trHeight w:val="563"/>
        </w:trPr>
        <w:tc>
          <w:tcPr>
            <w:tcW w:w="15736" w:type="dxa"/>
            <w:gridSpan w:val="5"/>
            <w:shd w:val="clear" w:color="auto" w:fill="auto"/>
            <w:hideMark/>
          </w:tcPr>
          <w:p w:rsidR="004C2C3F" w:rsidRPr="003A7AC8" w:rsidRDefault="00013385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Sağlık tesisinin kadrosunda bulunmaması durumunda, ihtiyaç halinde ve acil durumlarda kolayca ulaşılabilecek şekilde ilde </w:t>
            </w:r>
            <w:r w:rsidR="004C2C3F" w:rsidRPr="003A7AC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 xml:space="preserve">veya ilgili hekimin çalıştığı kurum ve kuruluş ile protokol yapılmış olmak kaydıyla ve mutat vasıtalar ile ulaşılabilecek azami 2 saatlik mesafedeki ilde bulunması 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yeterlidir. </w:t>
            </w:r>
          </w:p>
        </w:tc>
      </w:tr>
      <w:tr w:rsidR="004C2C3F" w:rsidRPr="00D955F6" w:rsidTr="001D0B7C">
        <w:trPr>
          <w:trHeight w:val="274"/>
        </w:trPr>
        <w:tc>
          <w:tcPr>
            <w:tcW w:w="15736" w:type="dxa"/>
            <w:gridSpan w:val="5"/>
            <w:shd w:val="clear" w:color="auto" w:fill="auto"/>
            <w:hideMark/>
          </w:tcPr>
          <w:p w:rsidR="004C2C3F" w:rsidRPr="00D955F6" w:rsidRDefault="00013385" w:rsidP="00CD5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Günün her saatinde, serviste </w:t>
            </w:r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yatan hasta (dolu yatak) sayısına</w:t>
            </w:r>
            <w:r w:rsidR="004C2C3F" w:rsidRPr="003A7A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uygun olarak hemşire/sağlık memuru bulunur</w:t>
            </w:r>
            <w:r w:rsidR="004C2C3F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</w:t>
            </w:r>
          </w:p>
        </w:tc>
      </w:tr>
      <w:tr w:rsidR="004C2C3F" w:rsidRPr="00D955F6" w:rsidTr="0030619B">
        <w:trPr>
          <w:trHeight w:val="298"/>
        </w:trPr>
        <w:tc>
          <w:tcPr>
            <w:tcW w:w="15736" w:type="dxa"/>
            <w:gridSpan w:val="5"/>
            <w:shd w:val="clear" w:color="auto" w:fill="auto"/>
            <w:noWrap/>
            <w:vAlign w:val="bottom"/>
            <w:hideMark/>
          </w:tcPr>
          <w:p w:rsidR="004C2C3F" w:rsidRPr="003A7AC8" w:rsidRDefault="00013385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3A7AC8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4C2C3F" w:rsidRPr="003A7AC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Bakanlık </w:t>
            </w:r>
            <w:r w:rsidR="004C2C3F" w:rsidRPr="003A7AC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tarafından uygun görülen sağlık tesislerinde kurulur.</w:t>
            </w:r>
          </w:p>
        </w:tc>
      </w:tr>
      <w:tr w:rsidR="004C2C3F" w:rsidRPr="00D955F6" w:rsidTr="001D0B7C">
        <w:trPr>
          <w:trHeight w:val="270"/>
        </w:trPr>
        <w:tc>
          <w:tcPr>
            <w:tcW w:w="15736" w:type="dxa"/>
            <w:gridSpan w:val="5"/>
            <w:shd w:val="clear" w:color="auto" w:fill="auto"/>
            <w:noWrap/>
            <w:vAlign w:val="bottom"/>
          </w:tcPr>
          <w:p w:rsidR="004C2C3F" w:rsidRPr="003A7AC8" w:rsidRDefault="00013385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(</w:t>
            </w:r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****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)</w:t>
            </w:r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</w:t>
            </w:r>
            <w:proofErr w:type="gramStart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Dahili</w:t>
            </w:r>
            <w:proofErr w:type="gramEnd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yoğun bakım servisi, cerrahi yoğun bakım servisi, </w:t>
            </w:r>
            <w:proofErr w:type="spellStart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nöroyoğun</w:t>
            </w:r>
            <w:proofErr w:type="spellEnd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bakım servisi, anestezi yoğun bakım servisi, </w:t>
            </w:r>
            <w:proofErr w:type="spellStart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kardiyovasküler</w:t>
            </w:r>
            <w:proofErr w:type="spellEnd"/>
            <w:r w:rsidR="004C2C3F" w:rsidRPr="003A7A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cerrahi yoğun bakım servisi, koroner yoğun bakım servisi, genel yoğun bakım servisi şeklinde adlandırılan erişkin yoğun bakım servisleri</w:t>
            </w:r>
          </w:p>
        </w:tc>
      </w:tr>
    </w:tbl>
    <w:p w:rsidR="002D61EA" w:rsidRDefault="002D61EA"/>
    <w:sectPr w:rsidR="002D61EA" w:rsidSect="0030619B">
      <w:pgSz w:w="16838" w:h="11906" w:orient="landscape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F7DF5"/>
    <w:multiLevelType w:val="hybridMultilevel"/>
    <w:tmpl w:val="219EFE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71"/>
    <w:rsid w:val="00002D28"/>
    <w:rsid w:val="00013385"/>
    <w:rsid w:val="0002046D"/>
    <w:rsid w:val="000320A3"/>
    <w:rsid w:val="001124CE"/>
    <w:rsid w:val="001A4A5E"/>
    <w:rsid w:val="001D0B7C"/>
    <w:rsid w:val="00285F12"/>
    <w:rsid w:val="002A6EC6"/>
    <w:rsid w:val="002D61EA"/>
    <w:rsid w:val="0030619B"/>
    <w:rsid w:val="003A7AC8"/>
    <w:rsid w:val="00441676"/>
    <w:rsid w:val="00473798"/>
    <w:rsid w:val="004C2C3F"/>
    <w:rsid w:val="00507BDC"/>
    <w:rsid w:val="005754E0"/>
    <w:rsid w:val="005D6FA4"/>
    <w:rsid w:val="006A20D3"/>
    <w:rsid w:val="00731510"/>
    <w:rsid w:val="007A6361"/>
    <w:rsid w:val="007C4774"/>
    <w:rsid w:val="008B1148"/>
    <w:rsid w:val="009E3F83"/>
    <w:rsid w:val="00B310E1"/>
    <w:rsid w:val="00BC7971"/>
    <w:rsid w:val="00BF06C6"/>
    <w:rsid w:val="00CD5D23"/>
    <w:rsid w:val="00CF22E6"/>
    <w:rsid w:val="00D13593"/>
    <w:rsid w:val="00D6527F"/>
    <w:rsid w:val="00DF3619"/>
    <w:rsid w:val="00E92A72"/>
    <w:rsid w:val="00EB7C87"/>
    <w:rsid w:val="00F32854"/>
    <w:rsid w:val="00F8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91335F-9ADA-433E-90C4-45CC925A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DÖNMEZ</dc:creator>
  <cp:lastModifiedBy>Kübra DÖNMEZ</cp:lastModifiedBy>
  <cp:revision>18</cp:revision>
  <dcterms:created xsi:type="dcterms:W3CDTF">2020-02-17T08:17:00Z</dcterms:created>
  <dcterms:modified xsi:type="dcterms:W3CDTF">2020-08-21T09:09:00Z</dcterms:modified>
</cp:coreProperties>
</file>