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280"/>
        <w:gridCol w:w="4725"/>
        <w:gridCol w:w="2025"/>
        <w:tblGridChange w:id="0">
          <w:tblGrid>
            <w:gridCol w:w="2280"/>
            <w:gridCol w:w="4725"/>
            <w:gridCol w:w="2025"/>
          </w:tblGrid>
        </w:tblGridChange>
      </w:tblGrid>
      <w:tr>
        <w:trPr>
          <w:trHeight w:val="5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1">
            <w:pPr>
              <w:tabs>
                <w:tab w:val="left" w:pos="3235"/>
              </w:tabs>
              <w:ind w:left="72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Titel:</w:t>
            </w:r>
          </w:p>
          <w:p w:rsidR="00000000" w:rsidDel="00000000" w:rsidP="00000000" w:rsidRDefault="00000000" w:rsidRPr="00000000" w14:paraId="00000002">
            <w:pPr>
              <w:contextualSpacing w:val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Riktlinjer för ögoninflammation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tabs>
                <w:tab w:val="left" w:pos="3235"/>
              </w:tabs>
              <w:ind w:left="720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Giltigt från:</w:t>
            </w:r>
          </w:p>
          <w:p w:rsidR="00000000" w:rsidDel="00000000" w:rsidP="00000000" w:rsidRDefault="00000000" w:rsidRPr="00000000" w14:paraId="00000006">
            <w:pPr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tabs>
                <w:tab w:val="left" w:pos="3235"/>
              </w:tabs>
              <w:contextualSpacing w:val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Fastställt av: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Version:</w:t>
            </w:r>
          </w:p>
          <w:p w:rsidR="00000000" w:rsidDel="00000000" w:rsidP="00000000" w:rsidRDefault="00000000" w:rsidRPr="00000000" w14:paraId="0000000B">
            <w:pPr>
              <w:contextualSpacing w:val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contextualSpacing w:val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0.1</w:t>
            </w:r>
          </w:p>
        </w:tc>
      </w:tr>
    </w:tbl>
    <w:p w:rsidR="00000000" w:rsidDel="00000000" w:rsidP="00000000" w:rsidRDefault="00000000" w:rsidRPr="00000000" w14:paraId="0000000D">
      <w:pPr>
        <w:contextualSpacing w:val="0"/>
        <w:rPr>
          <w:rFonts w:ascii="Cambria" w:cs="Cambria" w:eastAsia="Cambria" w:hAnsi="Cambria"/>
          <w:b w:val="1"/>
          <w:color w:val="191919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ff0000"/>
          <w:sz w:val="48"/>
          <w:szCs w:val="48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191919"/>
          <w:sz w:val="24"/>
          <w:szCs w:val="24"/>
          <w:rtl w:val="0"/>
        </w:rPr>
        <w:t xml:space="preserve">BAKGRUND</w:t>
      </w:r>
    </w:p>
    <w:p w:rsidR="00000000" w:rsidDel="00000000" w:rsidP="00000000" w:rsidRDefault="00000000" w:rsidRPr="00000000" w14:paraId="0000000E">
      <w:pPr>
        <w:contextualSpacing w:val="0"/>
        <w:rPr>
          <w:rFonts w:ascii="Cambria" w:cs="Cambria" w:eastAsia="Cambria" w:hAnsi="Cambria"/>
          <w:color w:val="191919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191919"/>
          <w:sz w:val="24"/>
          <w:szCs w:val="24"/>
          <w:rtl w:val="0"/>
        </w:rPr>
        <w:t xml:space="preserve">Konjunktiviter kan bl a orsakas av virus, bakterier eller vara av</w:t>
      </w:r>
      <w:r w:rsidDel="00000000" w:rsidR="00000000" w:rsidRPr="00000000">
        <w:rPr>
          <w:rFonts w:ascii="Cambria" w:cs="Cambria" w:eastAsia="Cambria" w:hAnsi="Cambria"/>
          <w:color w:val="19191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autoimmunt eller toxiskt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191919"/>
          <w:sz w:val="24"/>
          <w:szCs w:val="24"/>
          <w:rtl w:val="0"/>
        </w:rPr>
        <w:t xml:space="preserve">ursprung. Alla ögats vävnader kan drabbas. Att avgöra om en infektion har viralt eller bakteriellt ursprung är svårt. Studier visar att cirka 70% är virala.</w:t>
      </w:r>
    </w:p>
    <w:p w:rsidR="00000000" w:rsidDel="00000000" w:rsidP="00000000" w:rsidRDefault="00000000" w:rsidRPr="00000000" w14:paraId="0000000F">
      <w:pPr>
        <w:contextualSpacing w:val="0"/>
        <w:rPr>
          <w:rFonts w:ascii="Cambria" w:cs="Cambria" w:eastAsia="Cambria" w:hAnsi="Cambria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Riskfaktorer för komplikation vid bakteriell konjunktivit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Sänkt immunförsvar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Lokal behandling med kortikosteroider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Dåligt inställd diabetes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Underliggande ögon- eller ögonlocksjukdom (t.ex. torra ögon, hornhinnedystrofi)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Nyligen genomförd ögonkirurgi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Användning av kontaktlinser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Obstruktion av tårgångar</w:t>
      </w:r>
    </w:p>
    <w:p w:rsidR="00000000" w:rsidDel="00000000" w:rsidP="00000000" w:rsidRDefault="00000000" w:rsidRPr="00000000" w14:paraId="00000018">
      <w:pPr>
        <w:contextualSpacing w:val="0"/>
        <w:rPr>
          <w:rFonts w:ascii="Cambria" w:cs="Cambria" w:eastAsia="Cambria" w:hAnsi="Cambria"/>
          <w:color w:val="19191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after="0" w:before="0" w:lineRule="auto"/>
        <w:contextualSpacing w:val="0"/>
        <w:rPr>
          <w:rFonts w:ascii="Cambria" w:cs="Cambria" w:eastAsia="Cambria" w:hAnsi="Cambria"/>
          <w:b w:val="1"/>
          <w:color w:val="191919"/>
          <w:sz w:val="24"/>
          <w:szCs w:val="24"/>
        </w:rPr>
      </w:pPr>
      <w:bookmarkStart w:colFirst="0" w:colLast="0" w:name="_lh07wfr1mdk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191919"/>
          <w:sz w:val="24"/>
          <w:szCs w:val="24"/>
          <w:rtl w:val="0"/>
        </w:rPr>
        <w:t xml:space="preserve">RIKTLINJER</w:t>
      </w:r>
    </w:p>
    <w:p w:rsidR="00000000" w:rsidDel="00000000" w:rsidP="00000000" w:rsidRDefault="00000000" w:rsidRPr="00000000" w14:paraId="0000001A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Observera att akut synnedsättning, misstanke om främmande kropp i ögat eller om angrepp av hornhinnan (ljuskänslighet/bländning) inte skall behandlas i Docly. Fysisk undersökning av ögonläkare krävs alltid i dessa fall.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Initial handläggning av konjunktivit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vid frånvaro av riskfaktorer (se ovan) och lindriga symtom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contextualSpacing w:val="1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Tvätta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ögonen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med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fysiologisk koksaltlösning eller ögonsköljvätska (t.ex. Borax, Dacryoserum, Dacudose, Steridose). Vid behov används sterila kompresser. Lokala antiseptiska medel (t.ex. Biocidan, Monosept, Novoptine, Desomedine, Vitabact) kan användas under 5-7 dagar för att påskynda läkningen. Kortikosteroider får endast användas om infektiös orsak eliminerats. Delge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gärna rekommendation om hygien.</w:t>
      </w:r>
    </w:p>
    <w:p w:rsidR="00000000" w:rsidDel="00000000" w:rsidP="00000000" w:rsidRDefault="00000000" w:rsidRPr="00000000" w14:paraId="0000001F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contextualSpacing w:val="1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Vid frånvaro av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förbättring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inom 4-5 dagar, och stark misstanke om bakteriellt ursprung med uttalade besvär,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rekommenderas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ny vårdkontakt och lokal antibiotikabehandling enligt nedan: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133.858267716535" w:firstLine="0"/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Azithromycin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(Azyter)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, Tobramycin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(Tobrex)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, Klortetracyklin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(Aureomycin Evans),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Fusidinsyra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(Fucithalmic)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eller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Rifamycin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ind w:left="1133.858267716535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Behandlingssätt och längd varierar beroende på de droppar eller den salva som föreskrivs. Två till fem applikationer per dag i båda ögonen, i 3 till 7 dagar. </w:t>
      </w:r>
    </w:p>
    <w:p w:rsidR="00000000" w:rsidDel="00000000" w:rsidP="00000000" w:rsidRDefault="00000000" w:rsidRPr="00000000" w14:paraId="00000024">
      <w:pPr>
        <w:ind w:left="1133.858267716535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133.858267716535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Behandlingen måste avbrytas vid överkänslighet mot ett ämne som finns i ögondropparna eller salvan. </w:t>
      </w:r>
    </w:p>
    <w:p w:rsidR="00000000" w:rsidDel="00000000" w:rsidP="00000000" w:rsidRDefault="00000000" w:rsidRPr="00000000" w14:paraId="00000026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Observera att Fluorokinoloner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(Ciloxan, Chibroxine, Exocine, Monoox, Quinofree) enbart förskrivs vid terapisvikt eller svår infektion. </w:t>
      </w:r>
    </w:p>
    <w:p w:rsidR="00000000" w:rsidDel="00000000" w:rsidP="00000000" w:rsidRDefault="00000000" w:rsidRPr="00000000" w14:paraId="00000028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contextualSpacing w:val="1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Om patienten bär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kontaktlinser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får dessa inte användas förrän infektionen helt läkt ut och hornhinnan kontrollerats av ögonläkare. </w:t>
      </w:r>
    </w:p>
    <w:p w:rsidR="00000000" w:rsidDel="00000000" w:rsidP="00000000" w:rsidRDefault="00000000" w:rsidRPr="00000000" w14:paraId="0000002A">
      <w:pPr>
        <w:spacing w:after="80" w:before="80" w:lineRule="auto"/>
        <w:contextualSpacing w:val="0"/>
        <w:jc w:val="left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LÄNKAR</w:t>
      </w:r>
    </w:p>
    <w:p w:rsidR="00000000" w:rsidDel="00000000" w:rsidP="00000000" w:rsidRDefault="00000000" w:rsidRPr="00000000" w14:paraId="0000002C">
      <w:pPr>
        <w:contextualSpacing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www.vidal.fr/recommandations/1841/infections_oculaires/prise_en_charge/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spacing w:after="240" w:before="240" w:lineRule="auto"/>
        <w:contextualSpacing w:val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spacing w:after="240" w:before="240" w:lineRule="auto"/>
        <w:contextualSpacing w:val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VERSIONSHISTORIK</w:t>
      </w:r>
    </w:p>
    <w:tbl>
      <w:tblPr>
        <w:tblStyle w:val="Table2"/>
        <w:tblW w:w="9555.0" w:type="dxa"/>
        <w:jc w:val="left"/>
        <w:tblInd w:w="6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0"/>
        <w:gridCol w:w="1860"/>
        <w:gridCol w:w="3465"/>
        <w:gridCol w:w="2730"/>
        <w:tblGridChange w:id="0">
          <w:tblGrid>
            <w:gridCol w:w="1500"/>
            <w:gridCol w:w="1860"/>
            <w:gridCol w:w="3465"/>
            <w:gridCol w:w="2730"/>
          </w:tblGrid>
        </w:tblGridChange>
      </w:tblGrid>
      <w:tr>
        <w:trPr>
          <w:trHeight w:val="480" w:hRule="atLeast"/>
        </w:trPr>
        <w:tc>
          <w:tcPr>
            <w:shd w:fill="4a86e8" w:val="clear"/>
            <w:vAlign w:val="center"/>
          </w:tcPr>
          <w:p w:rsidR="00000000" w:rsidDel="00000000" w:rsidP="00000000" w:rsidRDefault="00000000" w:rsidRPr="00000000" w14:paraId="00000030">
            <w:pPr>
              <w:spacing w:after="80" w:line="240" w:lineRule="auto"/>
              <w:contextualSpacing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vAlign w:val="center"/>
          </w:tcPr>
          <w:p w:rsidR="00000000" w:rsidDel="00000000" w:rsidP="00000000" w:rsidRDefault="00000000" w:rsidRPr="00000000" w14:paraId="00000031">
            <w:pPr>
              <w:spacing w:after="80" w:line="240" w:lineRule="auto"/>
              <w:contextualSpacing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Datum för införande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vAlign w:val="center"/>
          </w:tcPr>
          <w:p w:rsidR="00000000" w:rsidDel="00000000" w:rsidP="00000000" w:rsidRDefault="00000000" w:rsidRPr="00000000" w14:paraId="00000032">
            <w:pPr>
              <w:spacing w:after="80" w:line="240" w:lineRule="auto"/>
              <w:contextualSpacing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Beskrivning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a86e8" w:val="clear"/>
            <w:vAlign w:val="center"/>
          </w:tcPr>
          <w:p w:rsidR="00000000" w:rsidDel="00000000" w:rsidP="00000000" w:rsidRDefault="00000000" w:rsidRPr="00000000" w14:paraId="00000033">
            <w:pPr>
              <w:spacing w:after="80" w:line="240" w:lineRule="auto"/>
              <w:contextualSpacing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80"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80"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80"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Ny riktlinje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80" w:line="240" w:lineRule="auto"/>
              <w:contextualSpacing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Murielle Hellsten Caron </w:t>
            </w:r>
          </w:p>
        </w:tc>
      </w:tr>
    </w:tbl>
    <w:p w:rsidR="00000000" w:rsidDel="00000000" w:rsidP="00000000" w:rsidRDefault="00000000" w:rsidRPr="00000000" w14:paraId="00000038">
      <w:pPr>
        <w:spacing w:after="80" w:line="240" w:lineRule="auto"/>
        <w:ind w:left="-567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Times New Roman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tabs>
        <w:tab w:val="right" w:pos="8640"/>
      </w:tabs>
      <w:spacing w:after="80" w:before="120" w:line="240" w:lineRule="auto"/>
      <w:contextualSpacing w:val="0"/>
      <w:rPr/>
    </w:pPr>
    <w:r w:rsidDel="00000000" w:rsidR="00000000" w:rsidRPr="00000000">
      <w:rPr>
        <w:rFonts w:ascii="Cambria" w:cs="Cambria" w:eastAsia="Cambria" w:hAnsi="Cambria"/>
        <w:b w:val="1"/>
        <w:sz w:val="20"/>
        <w:szCs w:val="20"/>
        <w:rtl w:val="0"/>
      </w:rPr>
      <w:t xml:space="preserve">Riktlinjer för ögoninflammation version 1.0</w:t>
    </w:r>
    <w:r w:rsidDel="00000000" w:rsidR="00000000" w:rsidRPr="00000000">
      <w:rPr>
        <w:rFonts w:ascii="Cambria" w:cs="Cambria" w:eastAsia="Cambria" w:hAnsi="Cambria"/>
        <w:sz w:val="20"/>
        <w:szCs w:val="20"/>
        <w:rtl w:val="0"/>
      </w:rPr>
      <w:tab/>
      <w:t xml:space="preserve">sida </w:t>
    </w:r>
    <w:r w:rsidDel="00000000" w:rsidR="00000000" w:rsidRPr="00000000">
      <w:rPr>
        <w:rFonts w:ascii="Cambria" w:cs="Cambria" w:eastAsia="Cambria" w:hAnsi="Cambria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sz w:val="20"/>
        <w:szCs w:val="20"/>
        <w:rtl w:val="0"/>
      </w:rPr>
      <w:t xml:space="preserve"> av </w:t>
    </w:r>
    <w:r w:rsidDel="00000000" w:rsidR="00000000" w:rsidRPr="00000000">
      <w:rPr>
        <w:rFonts w:ascii="Cambria" w:cs="Cambria" w:eastAsia="Cambria" w:hAnsi="Cambria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tabs>
        <w:tab w:val="right" w:pos="8550"/>
      </w:tabs>
      <w:spacing w:after="80" w:before="120" w:line="240" w:lineRule="auto"/>
      <w:contextualSpacing w:val="0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Calibri" w:cs="Calibri" w:eastAsia="Calibri" w:hAnsi="Calibri"/>
        <w:b w:val="1"/>
        <w:sz w:val="32"/>
        <w:szCs w:val="32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</w:rPr>
      <w:drawing>
        <wp:inline distB="19050" distT="19050" distL="19050" distR="19050">
          <wp:extent cx="1076850" cy="477167"/>
          <wp:effectExtent b="0" l="0" r="0" t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6850" cy="47716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tabs>
        <w:tab w:val="right" w:pos="8550"/>
      </w:tabs>
      <w:spacing w:after="80" w:before="120" w:line="240" w:lineRule="auto"/>
      <w:contextualSpacing w:val="0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mc:AlternateContent>
        <mc:Choice Requires="wpg">
          <w:drawing>
            <wp:inline distB="152400" distT="152400" distL="152400" distR="152400">
              <wp:extent cx="5638800" cy="2540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836508" y="3780000"/>
                        <a:ext cx="5018984" cy="1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CD0F0F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inline>
          </w:drawing>
        </mc:Choice>
        <mc:Fallback>
          <w:drawing>
            <wp:inline distB="152400" distT="152400" distL="152400" distR="152400">
              <wp:extent cx="5638800" cy="25400"/>
              <wp:effectExtent b="0" l="0" r="0" 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38800" cy="25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191919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191919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vidal.fr/recommandations/1841/infections_oculaires/prise_en_charge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